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53AB2" w14:textId="72FBA740" w:rsidR="00522676" w:rsidRPr="00794FD2" w:rsidRDefault="00794FD2" w:rsidP="00522676">
      <w:pPr>
        <w:pStyle w:val="Heading1"/>
        <w:spacing w:after="360" w:line="360" w:lineRule="auto"/>
        <w:jc w:val="center"/>
        <w:rPr>
          <w:rFonts w:ascii="Times New Roman" w:eastAsia="Times New Roman" w:hAnsi="Times New Roman" w:cs="Times New Roman"/>
          <w:smallCaps/>
          <w:color w:val="000000"/>
          <w:sz w:val="22"/>
          <w:szCs w:val="22"/>
        </w:rPr>
      </w:pPr>
      <w:r w:rsidRPr="009C4D50">
        <w:rPr>
          <w:rFonts w:ascii="Times New Roman" w:hAnsi="Times New Roman" w:cs="Times New Roman"/>
          <w:smallCaps/>
          <w:color w:val="000000"/>
          <w:sz w:val="22"/>
          <w:szCs w:val="22"/>
        </w:rPr>
        <w:t>PIC13/S5/1</w:t>
      </w:r>
      <w:r w:rsidR="009E5DFC">
        <w:rPr>
          <w:rFonts w:ascii="Times New Roman" w:hAnsi="Times New Roman" w:cs="Times New Roman"/>
          <w:smallCaps/>
          <w:color w:val="000000"/>
          <w:sz w:val="22"/>
          <w:szCs w:val="22"/>
        </w:rPr>
        <w:br/>
      </w:r>
      <w:bookmarkStart w:id="0" w:name="_GoBack"/>
      <w:bookmarkEnd w:id="0"/>
      <w:r w:rsidRPr="009C4D50">
        <w:rPr>
          <w:rFonts w:ascii="Times New Roman" w:hAnsi="Times New Roman" w:cs="Times New Roman"/>
          <w:smallCaps/>
          <w:color w:val="000000"/>
          <w:sz w:val="22"/>
          <w:szCs w:val="22"/>
        </w:rPr>
        <w:t xml:space="preserve"> AMÉLIORER LA VACCINATION DES ENFANTS ET DES ADOLESCENTS DANS LE PACIFIQUE (2020–2030), NOTAMMENT EN ADOPTANT UN CALENDRIER RÉGIONAL HARMONISÉ</w:t>
      </w:r>
    </w:p>
    <w:p w14:paraId="20BFE982" w14:textId="381576CF" w:rsidR="00794FD2" w:rsidRPr="009C4D50" w:rsidRDefault="00794FD2" w:rsidP="00794FD2">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sidRPr="009C4D50">
        <w:rPr>
          <w:rFonts w:ascii="Times New Roman" w:hAnsi="Times New Roman" w:cs="Times New Roman"/>
        </w:rPr>
        <w:t>En avril 2019, les directeurs océaniens de la santé ont chargé l’Organisation mondiale de la santé (OMS) et le Fonds des Nations Unies pour l’enfance (UNICEF) de préparer une étude de cas et une feuille de route pour l’harmonisation des calendriers de vaccination des enfants en Océanie, en y ajoutant des vaccins nouveaux et peu utilisés.</w:t>
      </w:r>
      <w:r w:rsidRPr="009C4D50">
        <w:rPr>
          <w:rFonts w:ascii="Times New Roman" w:hAnsi="Times New Roman" w:cs="Times New Roman"/>
          <w:color w:val="000000"/>
        </w:rPr>
        <w:t xml:space="preserve"> Il leur avait été demandé de tenir compte des défis qui se posent pour atteindre durablement les objectifs d’efficacité et de sécurité des programmes de vaccination dans la Région du Pacifique occidental.</w:t>
      </w:r>
      <w:r w:rsidR="008048B6">
        <w:rPr>
          <w:rFonts w:ascii="Times New Roman" w:hAnsi="Times New Roman" w:cs="Times New Roman"/>
          <w:color w:val="000000"/>
        </w:rPr>
        <w:t xml:space="preserve"> </w:t>
      </w:r>
    </w:p>
    <w:p w14:paraId="7D6DF052" w14:textId="77777777" w:rsidR="00794FD2" w:rsidRPr="009C4D50" w:rsidRDefault="00794FD2" w:rsidP="00794FD2">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sidRPr="009C4D50">
        <w:rPr>
          <w:rFonts w:ascii="Times New Roman" w:hAnsi="Times New Roman" w:cs="Times New Roman"/>
          <w:color w:val="000000"/>
        </w:rPr>
        <w:t>L’harmonisation des dispositifs nationaux et territoriaux existants peut permettre de simplifier les calendriers, de favoriser une vaccination régulière et homogène des enfants qui voyagent et migrent en Océanie, de réaliser des économies d’échelle en mutualisant l’achat des vaccins et d’accroître la comparabilité des variables de vaccination dans une optique d’amélioration des politiques et des pratiques.</w:t>
      </w:r>
    </w:p>
    <w:p w14:paraId="7DA980A8" w14:textId="77777777" w:rsidR="00794FD2" w:rsidRPr="009C4D50" w:rsidRDefault="00794FD2" w:rsidP="00794FD2">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sidRPr="009C4D50">
        <w:rPr>
          <w:rFonts w:ascii="Times New Roman" w:hAnsi="Times New Roman" w:cs="Times New Roman"/>
          <w:color w:val="000000"/>
        </w:rPr>
        <w:t xml:space="preserve">Les ministres de la Santé sont invités à : </w:t>
      </w:r>
    </w:p>
    <w:p w14:paraId="6AB9AB6F" w14:textId="77777777" w:rsidR="00794FD2" w:rsidRPr="009C4D50" w:rsidRDefault="00794FD2" w:rsidP="00794FD2">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9C4D50">
        <w:rPr>
          <w:rFonts w:ascii="Times New Roman" w:hAnsi="Times New Roman" w:cs="Times New Roman"/>
          <w:color w:val="000000"/>
        </w:rPr>
        <w:t xml:space="preserve">réaffirmer leur engagement à renforcer les systèmes nationaux de vaccination afin d’obtenir, dans la durée, une surveillance des maladies à prévention vaccinale et une couverture vaccinale conformes aux objectifs de la Région du Pacifique occidental au niveau national et infranational (district/île), ainsi qu’aux objectifs établis au niveau océanien ; </w:t>
      </w:r>
    </w:p>
    <w:p w14:paraId="6FF2ABA5" w14:textId="77777777" w:rsidR="00794FD2" w:rsidRPr="009C4D50" w:rsidRDefault="00794FD2" w:rsidP="00794FD2">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9C4D50">
        <w:rPr>
          <w:rFonts w:ascii="Times New Roman" w:hAnsi="Times New Roman" w:cs="Times New Roman"/>
          <w:color w:val="000000"/>
        </w:rPr>
        <w:t xml:space="preserve">s’engager à harmoniser les calendriers de vaccination des enfants et des adolescents océaniens d’ici à 2025 ; </w:t>
      </w:r>
    </w:p>
    <w:p w14:paraId="4BAFCF7A" w14:textId="77777777" w:rsidR="00794FD2" w:rsidRPr="009C4D50" w:rsidRDefault="00794FD2" w:rsidP="00794FD2">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9C4D50">
        <w:rPr>
          <w:rFonts w:ascii="Times New Roman" w:hAnsi="Times New Roman" w:cs="Times New Roman"/>
          <w:color w:val="000000"/>
        </w:rPr>
        <w:t xml:space="preserve">charger les partenaires du développement et les bailleurs de fonds de faciliter les consultations avec les États et Territoires insulaires océaniens qui n’ont pas encore instauré le vaccin contre la rougeole, les oreillons et la rubéole (ROR), le vaccin contre le papillomavirus humain (HPV), le vaccin antipneumococcique et le vaccin antirotavirus, au sujet de la faisabilité et du calendrier d’adoption ; </w:t>
      </w:r>
    </w:p>
    <w:p w14:paraId="32B762F3" w14:textId="7622C5AB" w:rsidR="00794FD2" w:rsidRPr="009C4D50" w:rsidRDefault="00794FD2" w:rsidP="00794FD2">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9C4D50">
        <w:rPr>
          <w:rFonts w:ascii="Times New Roman" w:hAnsi="Times New Roman" w:cs="Times New Roman"/>
          <w:color w:val="000000"/>
        </w:rPr>
        <w:lastRenderedPageBreak/>
        <w:t xml:space="preserve">améliorer la collecte des données relatives à la réticence face à la vaccination, afin de mieux comprendre la nature du problème dans les pays océaniens, d’y répondre par des éléments factuels pour accroître l’acceptation et augmenter la demande de vaccination, et de mettre en place des interventions axées sur la réticence face à la vaccination de manière proactive ; </w:t>
      </w:r>
      <w:r>
        <w:rPr>
          <w:rFonts w:ascii="Times New Roman" w:hAnsi="Times New Roman" w:cs="Times New Roman"/>
          <w:color w:val="000000"/>
        </w:rPr>
        <w:t>et</w:t>
      </w:r>
    </w:p>
    <w:p w14:paraId="405BBFC5" w14:textId="6718C56D" w:rsidR="00794FD2" w:rsidRPr="009C4D50" w:rsidRDefault="00794FD2" w:rsidP="00794FD2">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9C4D50">
        <w:rPr>
          <w:rFonts w:ascii="Times New Roman" w:hAnsi="Times New Roman" w:cs="Times New Roman"/>
        </w:rPr>
        <w:t>instaurer ou renforcer les systèmes de pharmacovigilance vaccinale dans tous les pays océaniens, et suivre leur mise en place.</w:t>
      </w:r>
      <w:r w:rsidR="008048B6">
        <w:rPr>
          <w:rFonts w:ascii="Times New Roman" w:hAnsi="Times New Roman" w:cs="Times New Roman"/>
          <w:color w:val="000000"/>
        </w:rPr>
        <w:t xml:space="preserve"> </w:t>
      </w:r>
    </w:p>
    <w:p w14:paraId="5BB6A81C" w14:textId="429F8501" w:rsidR="00522676" w:rsidRPr="00794FD2" w:rsidRDefault="00794FD2" w:rsidP="00794FD2">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sidRPr="009C4D50">
        <w:rPr>
          <w:rFonts w:ascii="Times New Roman" w:hAnsi="Times New Roman" w:cs="Times New Roman"/>
          <w:color w:val="000000"/>
        </w:rPr>
        <w:t>Des recommandations supplémentaires concernant les calendriers de vaccination et le renforcement des systèmes de vaccination sont également proposée</w:t>
      </w:r>
      <w:r w:rsidR="00E56608">
        <w:rPr>
          <w:rFonts w:ascii="Times New Roman" w:hAnsi="Times New Roman" w:cs="Times New Roman"/>
          <w:color w:val="000000"/>
        </w:rPr>
        <w:t>s</w:t>
      </w:r>
      <w:r w:rsidR="00522676" w:rsidRPr="00794FD2">
        <w:rPr>
          <w:rFonts w:ascii="Times New Roman" w:hAnsi="Times New Roman"/>
          <w:color w:val="000000"/>
        </w:rPr>
        <w:t>.</w:t>
      </w:r>
    </w:p>
    <w:p w14:paraId="095C1643" w14:textId="7817AE27" w:rsidR="00522676" w:rsidRPr="00794FD2" w:rsidRDefault="00522676" w:rsidP="00522676">
      <w:pPr>
        <w:keepNext/>
        <w:spacing w:before="480" w:after="480" w:line="360" w:lineRule="auto"/>
        <w:jc w:val="center"/>
        <w:rPr>
          <w:rFonts w:ascii="Times New Roman" w:hAnsi="Times New Roman" w:cs="Times New Roman"/>
          <w:b/>
        </w:rPr>
      </w:pPr>
      <w:r w:rsidRPr="00794FD2">
        <w:rPr>
          <w:rFonts w:ascii="Times New Roman" w:hAnsi="Times New Roman"/>
          <w:b/>
        </w:rPr>
        <w:t xml:space="preserve">1. </w:t>
      </w:r>
      <w:r w:rsidR="00794FD2">
        <w:rPr>
          <w:rFonts w:ascii="Times New Roman" w:hAnsi="Times New Roman"/>
          <w:b/>
        </w:rPr>
        <w:t>CONTEXTE</w:t>
      </w:r>
    </w:p>
    <w:p w14:paraId="20448126" w14:textId="77777777" w:rsidR="00794FD2" w:rsidRPr="009C4D50" w:rsidRDefault="00794FD2" w:rsidP="00794FD2">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À la suite de la demande formulée en avril 2019 par les directeurs de la santé, une étude de cas et une feuille de route pour l’harmonisation de la vaccination des enfants dans le Pacifique ont été préparées et soumises à l’attention des ministres de la Santé. Ces documents ont été élaborés en concertation avec les directeurs de programmes de vaccination, les partenaires techniques et les directeurs de la santé océaniens. Ces derniers ont noté que la couverture vaccinale était faible dans plusieurs pays, ce qui constitue un risque constant d’épidémie de maladies à prévention vaccinale dans la région. Dans un contexte de résurgence de la rougeole et d’autres maladies à prévention vaccinale au niveau mondial, de défis liés à l’application des programmes nationaux de vaccination (comme le déploraient les gestionnaires de programmes de vaccination lors de leur dixième réunion, en 2018) et d’apparition d’une réticence face à la vaccination dans certains pays océaniens, ces constats revêtent une importance particulière. </w:t>
      </w:r>
    </w:p>
    <w:p w14:paraId="1363E2F4" w14:textId="7F1B475F" w:rsidR="00522676" w:rsidRPr="00794FD2" w:rsidRDefault="00794FD2" w:rsidP="00794FD2">
      <w:pPr>
        <w:spacing w:line="360" w:lineRule="auto"/>
        <w:jc w:val="both"/>
        <w:rPr>
          <w:rFonts w:ascii="Times New Roman" w:eastAsia="Times New Roman" w:hAnsi="Times New Roman" w:cs="Times New Roman"/>
        </w:rPr>
      </w:pPr>
      <w:r w:rsidRPr="009C4D50">
        <w:rPr>
          <w:rFonts w:ascii="Times New Roman" w:hAnsi="Times New Roman" w:cs="Times New Roman"/>
        </w:rPr>
        <w:t>Le présent document revient sur la nécessité, pour l’ensemble des pays océaniens, d’atteindre durablement les objectifs de l’OMS pour la Région du Pacifique occidental, à savoir une couverture vaccinale d’au moins 95 % pour tous les vaccins figurant dans les programmes nationaux</w:t>
      </w:r>
      <w:r w:rsidRPr="009C4D50">
        <w:rPr>
          <w:rStyle w:val="FootnoteReference"/>
          <w:rFonts w:ascii="Times New Roman" w:eastAsia="Times New Roman" w:hAnsi="Times New Roman" w:cs="Times New Roman"/>
        </w:rPr>
        <w:footnoteReference w:id="2"/>
      </w:r>
      <w:r w:rsidRPr="009C4D50">
        <w:rPr>
          <w:rFonts w:ascii="Times New Roman" w:hAnsi="Times New Roman" w:cs="Times New Roman"/>
        </w:rPr>
        <w:t xml:space="preserve">. Il aborde également la question de l’harmonisation des calendriers, à la fois pour les vaccins traditionnels et pour l’introduction de nouveaux vaccins, le problème de la réticence face à la vaccination et la menace qu’elle représente pour la couverture vaccinale, ainsi que le renforcement de la pharmacovigilance vaccinale afin de minimiser les manifestations post-vaccinales indésirables (MAPI). Il est complété par : l’appendice 1 (Recommandation de calendrier de vaccination des enfants et des adolescents dans le Pacifique), </w:t>
      </w:r>
      <w:r w:rsidRPr="009C4D50">
        <w:rPr>
          <w:rFonts w:ascii="Times New Roman" w:hAnsi="Times New Roman" w:cs="Times New Roman"/>
        </w:rPr>
        <w:lastRenderedPageBreak/>
        <w:t>l’appendice 2 (Données administratives sur la couverture vaccinale en Océanie pour l’année 2018, tirées du processus conjoint de déclaration OMS/UNICEF) et l’appendice 3 (Cadre de résultats pour le renforcement des programmes de vaccination en Océanie, 2020–2030). L’annexe 1, qui expose l’étude de cas et la feuille de route dans leur intégralité, est présentée séparément</w:t>
      </w:r>
      <w:r w:rsidR="009817B1" w:rsidRPr="00794FD2">
        <w:rPr>
          <w:rFonts w:ascii="Times New Roman" w:hAnsi="Times New Roman"/>
        </w:rPr>
        <w:t>.</w:t>
      </w:r>
    </w:p>
    <w:p w14:paraId="7A065DBD" w14:textId="13470E79" w:rsidR="00522676" w:rsidRPr="00794FD2" w:rsidRDefault="00522676" w:rsidP="00381E7C">
      <w:pPr>
        <w:keepNext/>
        <w:spacing w:before="480" w:after="480" w:line="360" w:lineRule="auto"/>
        <w:jc w:val="center"/>
        <w:rPr>
          <w:rFonts w:ascii="Times New Roman" w:hAnsi="Times New Roman" w:cs="Times New Roman"/>
          <w:b/>
        </w:rPr>
      </w:pPr>
      <w:r w:rsidRPr="00794FD2">
        <w:rPr>
          <w:rFonts w:ascii="Times New Roman" w:hAnsi="Times New Roman"/>
          <w:b/>
        </w:rPr>
        <w:t xml:space="preserve">2. </w:t>
      </w:r>
      <w:r w:rsidR="00794FD2" w:rsidRPr="009C4D50">
        <w:rPr>
          <w:rFonts w:ascii="Times New Roman" w:hAnsi="Times New Roman" w:cs="Times New Roman"/>
          <w:b/>
        </w:rPr>
        <w:t>PROGRÈS RÉALISÉS ET RÉSULTATS OBTENUS</w:t>
      </w:r>
    </w:p>
    <w:p w14:paraId="1BD2585D" w14:textId="77777777" w:rsidR="00794FD2" w:rsidRPr="009C4D50" w:rsidRDefault="00794FD2" w:rsidP="00794FD2">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Programme de santé publique parmi les plus performants au monde, la vaccination a permis d’éviter des millions de cas de maladies à prévention vaccinale et de décès. En 2012, la soixante-cinquième Assemblée mondiale de la santé a adopté le </w:t>
      </w:r>
      <w:hyperlink r:id="rId9" w:history="1">
        <w:r w:rsidRPr="009C4D50">
          <w:rPr>
            <w:rStyle w:val="Hyperlink"/>
            <w:rFonts w:ascii="Times New Roman" w:hAnsi="Times New Roman" w:cs="Times New Roman"/>
          </w:rPr>
          <w:t>Plan d’action mondial pour les vaccins</w:t>
        </w:r>
      </w:hyperlink>
      <w:r w:rsidRPr="009C4D50">
        <w:rPr>
          <w:rFonts w:ascii="Times New Roman" w:hAnsi="Times New Roman" w:cs="Times New Roman"/>
        </w:rPr>
        <w:t xml:space="preserve"> pour la période 2011–2020 afin de concrétiser la vision de la Décennie de la vaccination en assurant un accès universel à la vaccination. </w:t>
      </w:r>
    </w:p>
    <w:p w14:paraId="6F94A3CD" w14:textId="77777777" w:rsidR="00794FD2" w:rsidRPr="009C4D50" w:rsidRDefault="00794FD2" w:rsidP="00794FD2">
      <w:pPr>
        <w:spacing w:line="360" w:lineRule="auto"/>
        <w:jc w:val="both"/>
        <w:rPr>
          <w:rFonts w:ascii="Times New Roman" w:eastAsia="Times New Roman" w:hAnsi="Times New Roman" w:cs="Times New Roman"/>
          <w:b/>
        </w:rPr>
      </w:pPr>
      <w:r w:rsidRPr="009C4D50">
        <w:rPr>
          <w:rFonts w:ascii="Times New Roman" w:hAnsi="Times New Roman" w:cs="Times New Roman"/>
        </w:rPr>
        <w:t xml:space="preserve">Depuis 1995, les pays océaniens sont guidés par le </w:t>
      </w:r>
      <w:hyperlink r:id="rId10" w:history="1">
        <w:r w:rsidRPr="009C4D50">
          <w:rPr>
            <w:rStyle w:val="Hyperlink"/>
            <w:rFonts w:ascii="Times New Roman" w:hAnsi="Times New Roman" w:cs="Times New Roman"/>
          </w:rPr>
          <w:t>concept d’îles-santé</w:t>
        </w:r>
      </w:hyperlink>
      <w:r w:rsidRPr="009C4D50">
        <w:rPr>
          <w:rFonts w:ascii="Times New Roman" w:hAnsi="Times New Roman" w:cs="Times New Roman"/>
        </w:rPr>
        <w:t xml:space="preserve">, cadre d’harmonisation pour une Océanie en meilleure santé. Le premier objectif de ce concept est le développement physique et spirituel des enfants afin qu’ils expriment leur plein potentiel. Ce développement passe par des interventions de santé publique, dont la vaccination. Tous les ministres océaniens de la Santé se sont engagés à mettre en œuvre le </w:t>
      </w:r>
      <w:hyperlink r:id="rId11" w:history="1">
        <w:r w:rsidRPr="009C4D50">
          <w:rPr>
            <w:rStyle w:val="Hyperlink"/>
            <w:rFonts w:ascii="Times New Roman" w:hAnsi="Times New Roman" w:cs="Times New Roman"/>
          </w:rPr>
          <w:t>Cadre régional d’application du Plan d’action mondial pour les vaccins (Pacifique occidental)</w:t>
        </w:r>
      </w:hyperlink>
      <w:r w:rsidRPr="009C4D50">
        <w:rPr>
          <w:rFonts w:ascii="Times New Roman" w:hAnsi="Times New Roman" w:cs="Times New Roman"/>
        </w:rPr>
        <w:t xml:space="preserve"> afin d’éradiquer la poliomyélite, d’éliminer la rougeole, la rubéole et le tétanos néonatal, et de faire de la maîtrise de l’hépatite B un enjeu de santé publique. Tous ces éléments contribuent à réduire la mortalité des enfants de moins de cinq ans et à atteindre l’</w:t>
      </w:r>
      <w:hyperlink r:id="rId12" w:history="1">
        <w:r w:rsidRPr="009C4D50">
          <w:rPr>
            <w:rStyle w:val="Hyperlink"/>
            <w:rFonts w:ascii="Times New Roman" w:hAnsi="Times New Roman" w:cs="Times New Roman"/>
          </w:rPr>
          <w:t>Objectif de développement durable 3</w:t>
        </w:r>
      </w:hyperlink>
      <w:r w:rsidRPr="009C4D50">
        <w:rPr>
          <w:rFonts w:ascii="Times New Roman" w:hAnsi="Times New Roman" w:cs="Times New Roman"/>
        </w:rPr>
        <w:t>, c’est-à-dire donner les moyens de vivre une vie saine et promouvoir le bien-être de tous à tous les âges.</w:t>
      </w:r>
    </w:p>
    <w:p w14:paraId="1C13D10C" w14:textId="345CDC45" w:rsidR="00522676" w:rsidRPr="00794FD2" w:rsidRDefault="00794FD2" w:rsidP="00794FD2">
      <w:pPr>
        <w:spacing w:line="360" w:lineRule="auto"/>
        <w:jc w:val="both"/>
        <w:rPr>
          <w:rFonts w:ascii="Times New Roman" w:eastAsia="Times New Roman" w:hAnsi="Times New Roman" w:cs="Times New Roman"/>
        </w:rPr>
      </w:pPr>
      <w:r w:rsidRPr="009C4D50">
        <w:rPr>
          <w:rFonts w:ascii="Times New Roman" w:hAnsi="Times New Roman" w:cs="Times New Roman"/>
        </w:rPr>
        <w:t>Les programmes de vaccination connaissent un franc succès en Océanie. Celle-ci, considérée comme un seul bloc épidémiologique, n’a plus connu de cas de poliomyélite depuis que la Région du Pacifique occidental a été déclarée exempte de cette maladie en 2000, même si une épidémie de poliovirus circulant dérivé d’une souche vaccinale s’est récemment produite en Papouasie-Nouvelle-Guinée. Les pays océaniens œuvrent à l’élimination de la rougeole et de la rubéole, la dernière épidémie de rougeole remontant à 2015. En outre, le nombre de cas d’hépatite B chronique chez l’enfant a fortement reculé. Au moins 15 pays océaniens ont instauré le vaccin anti-HPV et le vaccin antipneumococcique ou prévoient de le faire dans les prochaines années. S’appuyant sur l’épidémiologie locale et le nombre de décès liés aux gastroentérites à rotavirus, huit pays océaniens ont inclus le vaccin antirotavirus à leur calendrier national</w:t>
      </w:r>
      <w:r w:rsidR="00522676" w:rsidRPr="00794FD2">
        <w:rPr>
          <w:rFonts w:ascii="Times New Roman" w:hAnsi="Times New Roman"/>
        </w:rPr>
        <w:t>.</w:t>
      </w:r>
    </w:p>
    <w:p w14:paraId="3F476C3C" w14:textId="6D8499B9" w:rsidR="00522676" w:rsidRPr="00794FD2" w:rsidRDefault="00522676" w:rsidP="00381E7C">
      <w:pPr>
        <w:keepNext/>
        <w:spacing w:before="480" w:after="480" w:line="360" w:lineRule="auto"/>
        <w:jc w:val="center"/>
        <w:rPr>
          <w:rFonts w:ascii="Times New Roman" w:hAnsi="Times New Roman" w:cs="Times New Roman"/>
          <w:b/>
        </w:rPr>
      </w:pPr>
      <w:r w:rsidRPr="00794FD2">
        <w:rPr>
          <w:rFonts w:ascii="Times New Roman" w:hAnsi="Times New Roman"/>
          <w:b/>
        </w:rPr>
        <w:lastRenderedPageBreak/>
        <w:t xml:space="preserve">3. </w:t>
      </w:r>
      <w:r w:rsidR="00161FD0">
        <w:rPr>
          <w:rFonts w:ascii="Times New Roman" w:hAnsi="Times New Roman"/>
          <w:b/>
        </w:rPr>
        <w:t>DÉFIS</w:t>
      </w:r>
    </w:p>
    <w:p w14:paraId="32102073" w14:textId="48202C00" w:rsidR="00522676" w:rsidRPr="00794FD2" w:rsidRDefault="00522676" w:rsidP="00845CEC">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sidRPr="00794FD2">
        <w:rPr>
          <w:rFonts w:ascii="Times New Roman" w:hAnsi="Times New Roman"/>
          <w:b/>
          <w:color w:val="000000"/>
        </w:rPr>
        <w:t>3.1</w:t>
      </w:r>
      <w:r w:rsidRPr="00794FD2">
        <w:rPr>
          <w:rFonts w:ascii="Times New Roman" w:hAnsi="Times New Roman"/>
          <w:b/>
          <w:color w:val="000000"/>
        </w:rPr>
        <w:tab/>
      </w:r>
      <w:r w:rsidR="00161FD0" w:rsidRPr="009C4D50">
        <w:rPr>
          <w:rFonts w:ascii="Times New Roman" w:hAnsi="Times New Roman" w:cs="Times New Roman"/>
          <w:b/>
          <w:color w:val="000000"/>
        </w:rPr>
        <w:t>Résurgence des maladies à prévention vaccinale</w:t>
      </w:r>
    </w:p>
    <w:p w14:paraId="04CD2EDE" w14:textId="77777777" w:rsidR="00161FD0" w:rsidRPr="009C4D5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La mondialisation accroît la vulnérabilité de l’Océanie aux maladies infectieuses émergentes. Des épidémies qui se produisent à l’étranger risquent de se propager rapidement dans la région. La résurgence de la rougeole a touché un grand nombre de pays et de zones du Pacifique occidental, notamment l’Australie, la Chine, les Régions administratives spéciales de Hong Kong et de Macao, le Japon, la Nouvelle-Zélande, les Philippines et la République de Corée. Elle constitue une menace constante pour les pays océaniens. Même si aucune épidémie de rougeole n’a été constatée en Océanie depuis 2015, il est indispensable de combler les lacunes en matière d’immunité observées dans certains pays en raison de la faiblesse de la couverture vaccinale et de renforcer les capacités de surveillance, de réponse aux épidémies et des laboratoires. </w:t>
      </w:r>
    </w:p>
    <w:p w14:paraId="4E8BB70A" w14:textId="01E2CB5D" w:rsidR="00161FD0" w:rsidRPr="009C4D5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Ces dernières années, les pays océaniens ont subi des épidémies de poliovirus circulant dérivé d’une souche vaccinale, de diphtérie, d’hépatite A, d’infection invasive à méningocoque, d’oreillons, de coqueluche et de rotavirus. En 2016, l’épidémie d’oreillons survenue dans certains pays océaniens s’est propagée, notamment, en Nouvelle-Zélande et aux États-Unis, ce qui confirme que les pays océaniens doivent envisager de passer d’une vaccination contre la rougeole et la rubéole à une vaccination ROR. Même si la prévention du cancer du col de l’utérus reste une priorité en Océanie, l’introduction du vaccin anti-HPV a été retardée ou n’a pas atteint les objectifs de couverture dans certains pays. L’OMS recommande également d’inclure le vaccin antirotavirus à tous les programmes nationaux de vaccination</w:t>
      </w:r>
      <w:r w:rsidRPr="009C4D50">
        <w:rPr>
          <w:rStyle w:val="FootnoteReference"/>
          <w:rFonts w:ascii="Times New Roman" w:hAnsi="Times New Roman" w:cs="Times New Roman"/>
        </w:rPr>
        <w:footnoteReference w:id="3"/>
      </w:r>
      <w:r w:rsidRPr="009C4D50">
        <w:rPr>
          <w:rFonts w:ascii="Times New Roman" w:hAnsi="Times New Roman" w:cs="Times New Roman"/>
        </w:rPr>
        <w:t>.</w:t>
      </w:r>
      <w:r w:rsidR="008048B6">
        <w:rPr>
          <w:rFonts w:ascii="Times New Roman" w:hAnsi="Times New Roman" w:cs="Times New Roman"/>
        </w:rPr>
        <w:t xml:space="preserve"> </w:t>
      </w:r>
      <w:r w:rsidRPr="009C4D50">
        <w:rPr>
          <w:rFonts w:ascii="Times New Roman" w:hAnsi="Times New Roman" w:cs="Times New Roman"/>
        </w:rPr>
        <w:t xml:space="preserve"> </w:t>
      </w:r>
    </w:p>
    <w:p w14:paraId="67278874" w14:textId="334CE16B" w:rsidR="00522676" w:rsidRPr="00161FD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Les systèmes de surveillance des maladies à prévention vaccinale restent limités dans un certain nombre de pays océaniens, rares étant ceux qui remplissent régulièrement la fiche de suivi mensuel </w:t>
      </w:r>
      <w:hyperlink r:id="rId13" w:history="1">
        <w:r w:rsidRPr="009C4D50">
          <w:rPr>
            <w:rStyle w:val="Hyperlink"/>
            <w:rFonts w:ascii="Times New Roman" w:hAnsi="Times New Roman" w:cs="Times New Roman"/>
          </w:rPr>
          <w:t>pour la surveillance active en milieu hospitalier</w:t>
        </w:r>
      </w:hyperlink>
      <w:r w:rsidRPr="009C4D50">
        <w:rPr>
          <w:rFonts w:ascii="Times New Roman" w:hAnsi="Times New Roman" w:cs="Times New Roman"/>
        </w:rPr>
        <w:t>. Portant sur certaines maladies à prévention vaccinale, elle est transmise à l’OMS. Il est également nécessaire de renforcer les liens entre les systèmes de surveillance des maladies à prévention vaccinale, de surveillance des événements et de surveillance syndromique. Ce point a d’ailleurs été abordé lors de la réunion du Réseau océanien de surveillance de la santé publique (ROSSP) qui s’est tenue du 3 au 7 juin</w:t>
      </w:r>
      <w:r>
        <w:rPr>
          <w:rFonts w:ascii="Times New Roman" w:hAnsi="Times New Roman" w:cs="Times New Roman"/>
        </w:rPr>
        <w:t> 2019</w:t>
      </w:r>
      <w:r w:rsidRPr="009C4D50">
        <w:rPr>
          <w:rFonts w:ascii="Times New Roman" w:hAnsi="Times New Roman" w:cs="Times New Roman"/>
        </w:rPr>
        <w:t xml:space="preserve"> à </w:t>
      </w:r>
      <w:proofErr w:type="spellStart"/>
      <w:r w:rsidRPr="009C4D50">
        <w:rPr>
          <w:rFonts w:ascii="Times New Roman" w:hAnsi="Times New Roman" w:cs="Times New Roman"/>
        </w:rPr>
        <w:t>Nadi</w:t>
      </w:r>
      <w:proofErr w:type="spellEnd"/>
      <w:r w:rsidRPr="009C4D50">
        <w:rPr>
          <w:rFonts w:ascii="Times New Roman" w:hAnsi="Times New Roman" w:cs="Times New Roman"/>
        </w:rPr>
        <w:t xml:space="preserve"> (Fidji).</w:t>
      </w:r>
    </w:p>
    <w:p w14:paraId="72AAC7DE" w14:textId="5748DCB2" w:rsidR="00522676" w:rsidRPr="00794FD2" w:rsidRDefault="00522676" w:rsidP="00522676">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sidRPr="00794FD2">
        <w:rPr>
          <w:rFonts w:ascii="Times New Roman" w:hAnsi="Times New Roman"/>
          <w:b/>
          <w:color w:val="000000"/>
        </w:rPr>
        <w:t>3.2</w:t>
      </w:r>
      <w:r w:rsidRPr="00794FD2">
        <w:rPr>
          <w:rFonts w:ascii="Times New Roman" w:hAnsi="Times New Roman"/>
          <w:b/>
          <w:color w:val="000000"/>
        </w:rPr>
        <w:tab/>
      </w:r>
      <w:r w:rsidR="00161FD0" w:rsidRPr="009C4D50">
        <w:rPr>
          <w:rFonts w:ascii="Times New Roman" w:hAnsi="Times New Roman" w:cs="Times New Roman"/>
          <w:b/>
          <w:color w:val="000000"/>
        </w:rPr>
        <w:t>Défis à relever en matière de programmes de vaccination en Océanie</w:t>
      </w:r>
    </w:p>
    <w:p w14:paraId="3802EABE" w14:textId="77777777" w:rsidR="00161FD0" w:rsidRPr="009C4D5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S’ils veulent atteindre et conserver des taux de couverture vaccinale élevés et homogènes, et résorber les lacunes en matière d’immunité, les pays océaniens doivent garantir la sécurité et l’efficacité des </w:t>
      </w:r>
      <w:r w:rsidRPr="009C4D50">
        <w:rPr>
          <w:rFonts w:ascii="Times New Roman" w:hAnsi="Times New Roman" w:cs="Times New Roman"/>
        </w:rPr>
        <w:lastRenderedPageBreak/>
        <w:t xml:space="preserve">programmes de vaccination. La sécurité et l’efficacité des systèmes et programmes de vaccination dépendent des éléments suivants : un personnel hautement qualifié, des systèmes robustes de surveillance des maladies à prévention vaccinale, une liaison entre registres des naissances et registres de vaccination des enfants, un suivi de l’acceptation de la vaccination et de la demande de vaccins, un dispositif de pharmacovigilance pour les MAPI et autres problèmes liés à la vaccination, une gestion efficace de la chaîne du froid et de l’approvisionnement en vaccins, et l’ajout rationnel de nouveaux vaccins (vaccins anti-HPV, antipneumococcique et antirotavirus par exemple). La participation des communautés locales et de la société civile à la planification, à la mise en œuvre et au suivi des programmes de vaccination est essentielle à leur efficacité. </w:t>
      </w:r>
    </w:p>
    <w:p w14:paraId="62F43B16" w14:textId="77777777" w:rsidR="00161FD0" w:rsidRPr="009C4D5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Les études de cas nationales présentées lors de la </w:t>
      </w:r>
      <w:hyperlink r:id="rId14" w:history="1">
        <w:r w:rsidRPr="009C4D50">
          <w:rPr>
            <w:rStyle w:val="Hyperlink"/>
            <w:rFonts w:ascii="Times New Roman" w:hAnsi="Times New Roman" w:cs="Times New Roman"/>
          </w:rPr>
          <w:t>dixième réunion des gestionnaires de programmes de vaccination dans le Pacifique</w:t>
        </w:r>
      </w:hyperlink>
      <w:r w:rsidRPr="009C4D50">
        <w:rPr>
          <w:rFonts w:ascii="Times New Roman" w:hAnsi="Times New Roman" w:cs="Times New Roman"/>
        </w:rPr>
        <w:t xml:space="preserve">, qui s’est tenue à </w:t>
      </w:r>
      <w:proofErr w:type="spellStart"/>
      <w:r w:rsidRPr="009C4D50">
        <w:rPr>
          <w:rFonts w:ascii="Times New Roman" w:hAnsi="Times New Roman" w:cs="Times New Roman"/>
        </w:rPr>
        <w:t>Nadi</w:t>
      </w:r>
      <w:proofErr w:type="spellEnd"/>
      <w:r w:rsidRPr="009C4D50">
        <w:rPr>
          <w:rFonts w:ascii="Times New Roman" w:hAnsi="Times New Roman" w:cs="Times New Roman"/>
        </w:rPr>
        <w:t xml:space="preserve"> (Fidji) du 30 juillet au 3 août 2018, ont permis de recenser un certain nombre d’obstacles qui empêchent d’atteindre durablement les cibles régionales de vaccination et les normes de sécurité et de qualité des programmes de vaccination : main-d’œuvre limitée et forte rotation du personnel, nécessité de suivre activement les cas de patients abandonnant le programme de vaccination au moyen de services de proximité, localisation des familles très mobiles, accès ininterrompu à des flux financiers et des ressources pour la vaccination, défis logistiques (transport vers les îles périphériques et pour des activités opérationnelles telles que les visites de supervision), systèmes de chaîne du froid inadaptés, systèmes de gestion de l’information lacunaires. </w:t>
      </w:r>
    </w:p>
    <w:p w14:paraId="4E8BA072" w14:textId="77777777" w:rsidR="00161FD0" w:rsidRPr="009C4D50" w:rsidRDefault="00161FD0" w:rsidP="00161FD0">
      <w:pPr>
        <w:spacing w:before="280" w:after="280" w:line="360" w:lineRule="auto"/>
        <w:jc w:val="both"/>
        <w:rPr>
          <w:rFonts w:ascii="Times New Roman" w:eastAsia="Times New Roman" w:hAnsi="Times New Roman" w:cs="Times New Roman"/>
        </w:rPr>
      </w:pPr>
      <w:r w:rsidRPr="009C4D50">
        <w:rPr>
          <w:rFonts w:ascii="Times New Roman" w:hAnsi="Times New Roman" w:cs="Times New Roman"/>
        </w:rPr>
        <w:t>Malgré les progrès réalisés en Océanie pour atteindre les objectifs mondiaux et régionaux de vaccination en 2017</w:t>
      </w:r>
      <w:r w:rsidRPr="009C4D50">
        <w:rPr>
          <w:rStyle w:val="FootnoteReference"/>
          <w:rFonts w:ascii="Times New Roman" w:eastAsia="Times New Roman" w:hAnsi="Times New Roman" w:cs="Times New Roman"/>
        </w:rPr>
        <w:footnoteReference w:id="4"/>
      </w:r>
      <w:r w:rsidRPr="009C4D50">
        <w:rPr>
          <w:rFonts w:ascii="Times New Roman" w:hAnsi="Times New Roman" w:cs="Times New Roman"/>
        </w:rPr>
        <w:t>, les avancées restent fragiles (cf. appendice 2). D’après les données administratives relatives à la couverture par le DTC3 en 2018, partagées avec l’OMS et l’UNICEF au moyen du processus conjoint de déclaration, seuls 11 des 18 pays océaniens (soit 61 %) ayant transmis des informations à ce sujet atteignaient une couverture d’au moins 90 %. En outre, 11 pays sur 19 (soit 57 %) faisaient état d’une couverture d’au moins 90 % pour la première dose de vaccin à valence rougeole. Ces chiffres sont très inquiétants, dans la mesure où les pays océaniens restent confrontés à des problèmes d’approvisionnement en vaccins et de gestion de la chaîne du froid en raison de difficultés géographiques et logistiques et du caractère limité des ressources. Si les indicateurs de couverture vaccinale témoignent du pourcentage d’enfants touchés et vaccinés, des systèmes robustes de chaîne du froid sont nécessaires pour garantir l’efficacité des vaccins inoculés.</w:t>
      </w:r>
    </w:p>
    <w:p w14:paraId="4A0D1463" w14:textId="2991ACB2" w:rsidR="00C333C9" w:rsidRPr="00794FD2"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Une attention plus soutenue doit être portée à la formation préclinique et continue des personnes chargées de la vaccination en matière de compréhension des données et de capacités d’analyse. L’objectif est d’améliorer l’exhaustivité, la ponctualité et la qualité des données administratives de vaccination pour la </w:t>
      </w:r>
      <w:r w:rsidRPr="009C4D50">
        <w:rPr>
          <w:rFonts w:ascii="Times New Roman" w:hAnsi="Times New Roman" w:cs="Times New Roman"/>
        </w:rPr>
        <w:lastRenderedPageBreak/>
        <w:t>prise de décision, la surveillance des maladies à prévention vaccinale et le suivi des programmes aux échelons national, infranational et local. Des formations communes, réunissant prestataires de soins de santé primaires et personnel de santé publique, seraient particulièrement pertinentes pour améliorer les données relatives à la vaccination et les échanges d’informations entre ces secteurs</w:t>
      </w:r>
      <w:r w:rsidR="00DA1017" w:rsidRPr="00794FD2">
        <w:rPr>
          <w:rFonts w:ascii="Times New Roman" w:hAnsi="Times New Roman"/>
        </w:rPr>
        <w:t xml:space="preserve">. </w:t>
      </w:r>
    </w:p>
    <w:p w14:paraId="72D40004" w14:textId="10A0465F" w:rsidR="00522676" w:rsidRPr="00794FD2" w:rsidRDefault="00522676" w:rsidP="00522676">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sidRPr="00794FD2">
        <w:rPr>
          <w:rFonts w:ascii="Times New Roman" w:hAnsi="Times New Roman"/>
          <w:b/>
          <w:color w:val="000000"/>
        </w:rPr>
        <w:t>3.3</w:t>
      </w:r>
      <w:r w:rsidRPr="00794FD2">
        <w:rPr>
          <w:rFonts w:ascii="Times New Roman" w:hAnsi="Times New Roman"/>
          <w:b/>
          <w:color w:val="000000"/>
        </w:rPr>
        <w:tab/>
      </w:r>
      <w:r w:rsidR="00161FD0" w:rsidRPr="009C4D50">
        <w:rPr>
          <w:rFonts w:ascii="Times New Roman" w:hAnsi="Times New Roman" w:cs="Times New Roman"/>
          <w:b/>
          <w:color w:val="000000"/>
        </w:rPr>
        <w:t>Amélioration du suivi documentaire de la vaccination</w:t>
      </w:r>
    </w:p>
    <w:p w14:paraId="7B577455" w14:textId="77777777" w:rsidR="00161FD0" w:rsidRPr="009C4D5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Un registre des vaccinations, ou système d’information sur les vaccinations, est un système informatisé de données démographiques. Ces registres peuvent être intégrés aux dossiers médicaux ou de santé électroniques sous forme de module relatif à la vaccination, ou constituer un fichier distinct, relié aux dossiers de santé électroniques. L’objectif de la numérisation et de l’intégration des registres des vaccinations au dossier médical des patients est d’améliorer la couverture vaccinale nationale en personnalisant les registres, ce qui permet de réaliser l’ensemble des vaccins prévus et de suivre la vaccination. Cela permet également de relier les registres des naissances et l’évaluation de l’efficacité des programmes de vaccination, puisqu’il est alors possible de comparer les dates d’injection et l’exhaustivité des vaccinations aux calendriers nationaux et aux objectifs régionaux. Environ la moitié des pays océaniens développent actuellement des stratégies de santé numériques pour favoriser l’intégration de l’ensemble des programmes verticaux au sein de systèmes électroniques d’information sanitaire interopérables.</w:t>
      </w:r>
    </w:p>
    <w:p w14:paraId="1CC57BDF" w14:textId="6516DEAE" w:rsidR="0002548A" w:rsidRPr="00794FD2" w:rsidRDefault="00161FD0" w:rsidP="00161FD0">
      <w:pPr>
        <w:spacing w:line="360" w:lineRule="auto"/>
        <w:jc w:val="both"/>
        <w:rPr>
          <w:rFonts w:ascii="Times New Roman" w:eastAsia="Times New Roman" w:hAnsi="Times New Roman" w:cs="Times New Roman"/>
          <w:lang w:val="pt-BR"/>
        </w:rPr>
      </w:pPr>
      <w:r w:rsidRPr="009C4D50">
        <w:rPr>
          <w:rFonts w:ascii="Times New Roman" w:hAnsi="Times New Roman" w:cs="Times New Roman"/>
        </w:rPr>
        <w:t>Les difficultés d’ordre informatique constituent un défi majeur dans certains pays océaniens, où elles dépassent la question des programmes de vaccination. Les investissements dans les infrastructures d’information sanitaire doivent tenir compte des enjeux d’interopérabilité avec les systèmes existants et de viabilité, notamment du coût total du système (achat et entretien du matériel et des logiciels, licences et mises à niveau, connectivité, ressources humaines pour l’informatique et la formation en ligne)</w:t>
      </w:r>
      <w:r w:rsidR="0002548A" w:rsidRPr="00794FD2">
        <w:rPr>
          <w:rFonts w:ascii="Times New Roman" w:hAnsi="Times New Roman"/>
          <w:lang w:val="pt-BR"/>
        </w:rPr>
        <w:t>.</w:t>
      </w:r>
    </w:p>
    <w:p w14:paraId="5F2DDF8B" w14:textId="33A75143" w:rsidR="00522676" w:rsidRPr="00794FD2" w:rsidRDefault="00522676" w:rsidP="00522676">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lang w:val="pt-BR"/>
        </w:rPr>
      </w:pPr>
      <w:r w:rsidRPr="00794FD2">
        <w:rPr>
          <w:rFonts w:ascii="Times New Roman" w:hAnsi="Times New Roman"/>
          <w:b/>
          <w:color w:val="000000"/>
          <w:lang w:val="pt-BR"/>
        </w:rPr>
        <w:t>3.4</w:t>
      </w:r>
      <w:r w:rsidRPr="00794FD2">
        <w:rPr>
          <w:rFonts w:ascii="Times New Roman" w:hAnsi="Times New Roman"/>
          <w:b/>
          <w:color w:val="000000"/>
          <w:lang w:val="pt-BR"/>
        </w:rPr>
        <w:tab/>
      </w:r>
      <w:r w:rsidR="00161FD0" w:rsidRPr="009C4D50">
        <w:rPr>
          <w:rFonts w:ascii="Times New Roman" w:hAnsi="Times New Roman" w:cs="Times New Roman"/>
          <w:b/>
          <w:color w:val="000000"/>
        </w:rPr>
        <w:t>Réticence face à la vaccination et pharmacovigilance vaccinale</w:t>
      </w:r>
    </w:p>
    <w:p w14:paraId="726395CA" w14:textId="452ED550" w:rsidR="00161FD0" w:rsidRPr="009C4D50" w:rsidRDefault="00161FD0" w:rsidP="00161FD0">
      <w:pPr>
        <w:spacing w:line="360" w:lineRule="auto"/>
        <w:jc w:val="both"/>
        <w:rPr>
          <w:rFonts w:ascii="Times New Roman" w:eastAsia="Times New Roman" w:hAnsi="Times New Roman" w:cs="Times New Roman"/>
        </w:rPr>
      </w:pPr>
      <w:r w:rsidRPr="009C4D50">
        <w:rPr>
          <w:rFonts w:ascii="Times New Roman" w:hAnsi="Times New Roman" w:cs="Times New Roman"/>
        </w:rPr>
        <w:t xml:space="preserve">Phénomène mondial, la montée en puissance de la réticence face à la vaccination constitue une menace supplémentaire pour la réalisation de l’objectif de couverture vaccinale et d’éradication, d’élimination ou de maîtrise des maladies à prévention vaccinale. Bien que cette réticence soit un comportement social complexe et pluridimensionnel, elle est influencée par des facteurs tels que le relâchement de la vigilance, la facilité d’accès aux services de vaccination et la confiance vis-à-vis de la sécurité et de l’efficacité des vaccins. À l’heure actuelle, les documents portant sur l’ampleur de la réticence à l’égard de la vaccination en Océanie sont rares. Toutefois, cette attitude peut jouer un rôle dans la faiblesse pérenne de la couverture vaccinale dans certains pays océaniens. Les lacunes en matière de pharmacovigilance vaccinale (détection, évaluation, compréhension, documentation et signalement des MAPI et autres </w:t>
      </w:r>
      <w:r w:rsidRPr="009C4D50">
        <w:rPr>
          <w:rFonts w:ascii="Times New Roman" w:hAnsi="Times New Roman" w:cs="Times New Roman"/>
        </w:rPr>
        <w:lastRenderedPageBreak/>
        <w:t>problèmes liés à la vaccination) et le manque de systèmes de prévention des MAPI peuvent également contribuer à la réticence observée en Océanie.</w:t>
      </w:r>
      <w:r w:rsidR="008048B6">
        <w:rPr>
          <w:rFonts w:ascii="Times New Roman" w:hAnsi="Times New Roman" w:cs="Times New Roman"/>
        </w:rPr>
        <w:t xml:space="preserve"> </w:t>
      </w:r>
    </w:p>
    <w:p w14:paraId="730CDCAA" w14:textId="4A6683D6" w:rsidR="00522676" w:rsidRPr="00794FD2" w:rsidRDefault="00161FD0" w:rsidP="00161FD0">
      <w:pPr>
        <w:spacing w:line="360" w:lineRule="auto"/>
        <w:jc w:val="both"/>
        <w:rPr>
          <w:rFonts w:ascii="Times New Roman" w:eastAsia="Times New Roman" w:hAnsi="Times New Roman" w:cs="Times New Roman"/>
          <w:lang w:val="pt-BR"/>
        </w:rPr>
      </w:pPr>
      <w:r w:rsidRPr="009C4D50">
        <w:rPr>
          <w:rFonts w:ascii="Times New Roman" w:hAnsi="Times New Roman" w:cs="Times New Roman"/>
        </w:rPr>
        <w:t>Une démarche intégrée de génération de la demande et de réponse aux questions sur la nécessité de la vaccination est indispensable pour lutter contre ce phénomène. Une communication efficace et des activités participatives au niveau communautaire (par exemple en veillant à ce que les aidants disposent, avant la vaccination, d’informations exhaustives et faciles à comprendre sur les avantages, les risques et les effets secondaires courants des vaccins, dans le cadre du processus de consentement éclairé) peuvent renforcer la confiance vis-à-vis des vaccins et accroître la demande. Il existe également des systèmes et des processus qui permettent de communiquer de façon rapide et transparente autour des MAPI. En outre, les programmes de vaccination englobent des stratégies de communication qui contribuent à renforcer la confiance pendant la phase de vaccination ordinaire et lors des vaccinations supplémentaires destinées à enrayer une épidémie. Enfin, le traitement des problèmes liés à la prestation des services de vaccination, qui participent de la perte de confiance, permettra de surmonter la réticence face à la vaccination, d’accroître l’acceptation et d’augmenter la demande</w:t>
      </w:r>
      <w:r w:rsidR="00522676" w:rsidRPr="00794FD2">
        <w:rPr>
          <w:rFonts w:ascii="Times New Roman" w:hAnsi="Times New Roman"/>
          <w:lang w:val="pt-BR"/>
        </w:rPr>
        <w:t>.</w:t>
      </w:r>
    </w:p>
    <w:p w14:paraId="4F7A67E8" w14:textId="63EC495F" w:rsidR="00522676" w:rsidRPr="00794FD2" w:rsidRDefault="00522676" w:rsidP="00381E7C">
      <w:pPr>
        <w:keepNext/>
        <w:spacing w:before="480" w:after="480" w:line="360" w:lineRule="auto"/>
        <w:jc w:val="center"/>
        <w:rPr>
          <w:rFonts w:ascii="Times New Roman" w:hAnsi="Times New Roman" w:cs="Times New Roman"/>
          <w:b/>
        </w:rPr>
      </w:pPr>
      <w:r w:rsidRPr="00794FD2">
        <w:rPr>
          <w:rFonts w:ascii="Times New Roman" w:hAnsi="Times New Roman"/>
          <w:b/>
        </w:rPr>
        <w:t>4.</w:t>
      </w:r>
      <w:r w:rsidR="008048B6">
        <w:rPr>
          <w:rFonts w:ascii="Times New Roman" w:hAnsi="Times New Roman"/>
          <w:b/>
        </w:rPr>
        <w:t xml:space="preserve"> </w:t>
      </w:r>
      <w:r w:rsidRPr="00794FD2">
        <w:rPr>
          <w:rFonts w:ascii="Times New Roman" w:hAnsi="Times New Roman"/>
          <w:b/>
        </w:rPr>
        <w:t>ORIENTATIONS FUTURES</w:t>
      </w:r>
    </w:p>
    <w:p w14:paraId="25F11CC1" w14:textId="5B1D69A3" w:rsidR="00522676" w:rsidRPr="00794FD2" w:rsidRDefault="00522676" w:rsidP="00522676">
      <w:pPr>
        <w:spacing w:line="360" w:lineRule="auto"/>
        <w:jc w:val="both"/>
        <w:rPr>
          <w:rFonts w:ascii="Times New Roman" w:eastAsia="Times New Roman" w:hAnsi="Times New Roman" w:cs="Times New Roman"/>
        </w:rPr>
      </w:pPr>
      <w:r w:rsidRPr="00794FD2">
        <w:rPr>
          <w:rFonts w:ascii="Times New Roman" w:hAnsi="Times New Roman"/>
        </w:rPr>
        <w:t>La prévention des épidémies de maladies à prévention vaccinale a des retombées directes et indirectes sur la santé, l’économie et la société : des maladies et des décès sont évités, les coûts des soins de santé diminuent, des pertes de productivité et d’échanges économiques dues à la maladie et à l’absentéisme sont évitées, et le capital social des pays est protégé. En effet, les enfants malades et les enfants non vaccinés sont exclus de l’école et des activités sociales durant de telles épidémies et ne peuvent donc pas bénéficier des possibilités pédagogiques et sociales qui leur sont offertes ; sur le long terme, cela pourrait compromettre leur santé et leur développement.</w:t>
      </w:r>
      <w:r w:rsidR="008048B6">
        <w:rPr>
          <w:rFonts w:ascii="Times New Roman" w:hAnsi="Times New Roman"/>
        </w:rPr>
        <w:t xml:space="preserve"> </w:t>
      </w:r>
      <w:r w:rsidRPr="00794FD2">
        <w:rPr>
          <w:rFonts w:ascii="Times New Roman" w:hAnsi="Times New Roman"/>
        </w:rPr>
        <w:t xml:space="preserve">Outre la protection des individus qui en bénéficient, la vaccination protège les populations de ces maladies grâce à l’immunité de groupe (ou collective). L’objectif de réalisation et de maintien d’une couverture permettant une telle immunité collective aux échelons national, infranational/insulaire et régional en Océanie peut être soutenu par la mise en place d’un calendrier commun de vaccination infantile dans le Pacifique. Une forte couverture permettra aux pays océaniens d’avancer collectivement vers l’« immunité collective dans le Pacifique ». </w:t>
      </w:r>
    </w:p>
    <w:p w14:paraId="2DE8DA0D" w14:textId="023B41DC" w:rsidR="00522676" w:rsidRPr="00794FD2" w:rsidRDefault="00522676" w:rsidP="00522676">
      <w:pPr>
        <w:spacing w:line="360" w:lineRule="auto"/>
        <w:jc w:val="both"/>
        <w:rPr>
          <w:rFonts w:ascii="Times New Roman" w:eastAsia="Times New Roman" w:hAnsi="Times New Roman" w:cs="Times New Roman"/>
        </w:rPr>
      </w:pPr>
      <w:r w:rsidRPr="00794FD2">
        <w:rPr>
          <w:rFonts w:ascii="Times New Roman" w:hAnsi="Times New Roman"/>
        </w:rPr>
        <w:t xml:space="preserve">À l’heure actuelle, les calendriers de vaccination ou les formulations des vaccins utilisés ne sont pas harmonisés à l’échelle du Pacifique, même si, dans le cadre de l’Initiative pour l’autonomie en matière de vaccins (VII) de l’UNICEF, les pays insulaires océaniens participants harmonisent les produits sélectionnés et disposent donc de formulations communes. Pour ce qui est des vaccins à valence rougeole, par exemple, il existe neuf schémas de vaccination dans les pays qui ont adopté un schéma à deux doses. Un pays n’a pas encore mis en œuvre ce schéma de vaccination contre la rougeole en deux doses. Ces </w:t>
      </w:r>
      <w:r w:rsidRPr="00794FD2">
        <w:rPr>
          <w:rFonts w:ascii="Times New Roman" w:hAnsi="Times New Roman"/>
        </w:rPr>
        <w:lastRenderedPageBreak/>
        <w:t>différences sont liées tant à l’histoire qu’à des décisions stratégiques prises par des pays désireux d’harmoniser leur calendrier de vaccination avec celui des autorités continentales ou de pays avec lesquels ils entretiennent des relations privilégiées. D’autres éléments entrent en ligne de compte, notamment la démographie et la taille de la cohorte de naissances, des facteurs programmatiques et opérationnels tels que le coût des différentes formulations, les dispositifs d’approvisionnement ou encore les capacités de vaccination.</w:t>
      </w:r>
    </w:p>
    <w:p w14:paraId="3BA9B655" w14:textId="17E2A535" w:rsidR="00522676" w:rsidRPr="00794FD2" w:rsidRDefault="00522676" w:rsidP="00522676">
      <w:pPr>
        <w:spacing w:line="360" w:lineRule="auto"/>
        <w:jc w:val="both"/>
        <w:rPr>
          <w:rFonts w:ascii="Times New Roman" w:eastAsia="Times New Roman" w:hAnsi="Times New Roman" w:cs="Times New Roman"/>
        </w:rPr>
      </w:pPr>
      <w:r w:rsidRPr="00794FD2">
        <w:rPr>
          <w:rFonts w:ascii="Times New Roman" w:hAnsi="Times New Roman"/>
        </w:rPr>
        <w:t>La raison d’être d’un calendrier commun de vaccination des enfants et des adolescents dans le Pacifique est présentée dans l’étude de cas. L’harmonisation des dispositifs nationaux et territoriaux</w:t>
      </w:r>
      <w:r w:rsidR="008048B6">
        <w:rPr>
          <w:rFonts w:ascii="Times New Roman" w:hAnsi="Times New Roman"/>
        </w:rPr>
        <w:t xml:space="preserve"> </w:t>
      </w:r>
      <w:r w:rsidRPr="00794FD2">
        <w:rPr>
          <w:rFonts w:ascii="Times New Roman" w:hAnsi="Times New Roman"/>
        </w:rPr>
        <w:t>existants peut permettre de simplifier les calendriers, de favoriser une vaccination régulière et homogène des enfants qui voyagent et migrent en Océanie, de réaliser des économies d’échelle en mutualisant l’achat des vaccins et d’accroître la comparabilité des variables de vaccination dans une optique d’amélioration des politiques et des pratiques. Elle pourra aussi apporter des avantages économiques à long terme, compte tenu de l’amélioration de l’état de santé de la population active océanienne. En outre, cette harmonisation signifie que les groupes d’âge exposés au risque de résurgence de maladies à prévention vaccinale telles que la rougeole sont les mêmes dans tous les pays, ce qui simplifie leur identification ainsi que la planification opérationnelle et l’achat des doses nécessaires aux campagnes de vaccination de masse en cas d’épidémie régionale.</w:t>
      </w:r>
    </w:p>
    <w:p w14:paraId="7138C594" w14:textId="527A8914" w:rsidR="00A82880" w:rsidRPr="00794FD2" w:rsidRDefault="00A82880" w:rsidP="00A82880">
      <w:pPr>
        <w:spacing w:line="360" w:lineRule="auto"/>
        <w:jc w:val="both"/>
        <w:rPr>
          <w:rFonts w:ascii="Times New Roman" w:eastAsia="Times New Roman" w:hAnsi="Times New Roman" w:cs="Times New Roman"/>
        </w:rPr>
      </w:pPr>
      <w:r w:rsidRPr="00794FD2">
        <w:rPr>
          <w:rFonts w:ascii="Times New Roman" w:hAnsi="Times New Roman"/>
        </w:rPr>
        <w:t>Il faut également noter que, outre les aspects épidémiologiques et programmatiques, l’harmonisation des calendriers de vaccination nécessite une analyse solide des marchés mondiaux des vaccins et des mécanismes d’approvisionnement groupé adéquats, avec une planification systématique de la demande, des ressources financières et des cycles opérationnels. Depuis 1995, l’initiative VII de l’UNICEF en Océanie constitue, pour les pays participants, un outil idéal pour obtenir des vaccins à la qualité garantie (préqualification par l’OMS) et à des prix abordables, l’autofinancement étant une priorité. Les financements relais par les lignes de crédit de l’initiative et les stocks tampons régionaux sont des éléments importants pour éviter les pénuries de vaccins à l’échelon national en Océanie.</w:t>
      </w:r>
    </w:p>
    <w:p w14:paraId="78C4A4AE" w14:textId="77777777" w:rsidR="00522676" w:rsidRPr="00794FD2" w:rsidRDefault="00522676" w:rsidP="00522676">
      <w:pPr>
        <w:keepNext/>
        <w:spacing w:before="480" w:after="480" w:line="360" w:lineRule="auto"/>
        <w:rPr>
          <w:rFonts w:ascii="Times New Roman" w:hAnsi="Times New Roman" w:cs="Times New Roman"/>
          <w:b/>
        </w:rPr>
      </w:pPr>
      <w:r w:rsidRPr="00794FD2">
        <w:rPr>
          <w:rFonts w:ascii="Times New Roman" w:hAnsi="Times New Roman"/>
          <w:b/>
        </w:rPr>
        <w:t>4.1</w:t>
      </w:r>
      <w:r w:rsidRPr="00794FD2">
        <w:rPr>
          <w:rFonts w:ascii="Times New Roman" w:hAnsi="Times New Roman"/>
          <w:b/>
        </w:rPr>
        <w:tab/>
        <w:t>Recommandations à l’intention des gouvernements</w:t>
      </w:r>
    </w:p>
    <w:p w14:paraId="2AEEA431" w14:textId="3C6B8C13" w:rsidR="00522676" w:rsidRPr="00794FD2" w:rsidRDefault="00522676" w:rsidP="00522676">
      <w:pPr>
        <w:spacing w:before="480" w:after="480" w:line="360" w:lineRule="auto"/>
        <w:jc w:val="both"/>
        <w:rPr>
          <w:b/>
        </w:rPr>
      </w:pPr>
      <w:r w:rsidRPr="00794FD2">
        <w:rPr>
          <w:rFonts w:ascii="Times New Roman" w:hAnsi="Times New Roman"/>
        </w:rPr>
        <w:t xml:space="preserve">Les ministres de la Santé sont invités à adopter les mesures ci-après en vue du développement durable, et à continuer à renforcer les programmes de vaccination dans la région. </w:t>
      </w:r>
    </w:p>
    <w:p w14:paraId="201DC4BE" w14:textId="77438587"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 xml:space="preserve">Réaffirmer leur engagement à renforcer les systèmes nationaux de vaccination, en mettant notamment en place des registres électroniques de vaccination afin d’obtenir, dans la durée, une surveillance des maladies à prévention vaccinale et une couverture vaccinale conformes aux objectifs de la Région du </w:t>
      </w:r>
      <w:r w:rsidRPr="00794FD2">
        <w:rPr>
          <w:rFonts w:ascii="Times New Roman" w:hAnsi="Times New Roman"/>
          <w:color w:val="000000"/>
        </w:rPr>
        <w:lastRenderedPageBreak/>
        <w:t>Pacifique occidental au niveau national et infranational (district/île), ainsi qu’aux objectifs établis au niveau océanien.</w:t>
      </w:r>
    </w:p>
    <w:p w14:paraId="311177CE" w14:textId="19CC44EB"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S’engager à harmoniser les calendriers de vaccinations des enfants et des adolescents océaniens d’ici à 2025.</w:t>
      </w:r>
    </w:p>
    <w:p w14:paraId="062DD7F5" w14:textId="6BCFCA64"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Charger les partenaires du développement de faciliter les consultations avec les pays océaniens qui n’ont pas encore instauré le vaccin contre la rougeole, les oreillons et la rubéole (ROR), le vaccin contre le papillomavirus humain (HPV), le vaccin antipneumococcique et le vaccin antirotavirus, au sujet de la faisabilité et du calendrier d’adoption.</w:t>
      </w:r>
    </w:p>
    <w:p w14:paraId="27C2755F" w14:textId="77777777"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Améliorer la collecte des données relatives à la réticence face à la vaccination, afin de mieux comprendre la nature du problème dans les pays océaniens, d’y répondre par des éléments factuels pour accroître l’acceptation et augmenter la demande de vaccination, et de mettre en place des interventions axées sur la réticence face à la vaccination de manière proactive.</w:t>
      </w:r>
    </w:p>
    <w:p w14:paraId="6A1D8D29" w14:textId="77777777"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rPr>
        <w:t>Instaurer ou renforcer les systèmes de pharmacovigilance vaccinale dans tous les pays océaniens, et suivre leur mise en place.</w:t>
      </w:r>
    </w:p>
    <w:p w14:paraId="3DA2E4C8" w14:textId="4173DC01" w:rsidR="00522676" w:rsidRPr="00794FD2" w:rsidRDefault="00522676" w:rsidP="00522676">
      <w:pPr>
        <w:shd w:val="clear" w:color="auto" w:fill="FFFFFF"/>
        <w:spacing w:before="240" w:line="360" w:lineRule="auto"/>
        <w:jc w:val="both"/>
        <w:rPr>
          <w:rFonts w:ascii="Times New Roman" w:hAnsi="Times New Roman"/>
          <w:b/>
          <w:color w:val="000000"/>
        </w:rPr>
      </w:pPr>
      <w:r w:rsidRPr="00794FD2">
        <w:rPr>
          <w:rFonts w:ascii="Times New Roman" w:hAnsi="Times New Roman"/>
          <w:b/>
          <w:color w:val="000000"/>
        </w:rPr>
        <w:t>Recommandations d’antigènes précis dans le calendrier de vaccination des enfants et des adolescents et en vue du renforcement des programmes de vaccination en général :</w:t>
      </w:r>
    </w:p>
    <w:p w14:paraId="2D2FAAFE" w14:textId="08FEB9D6"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 xml:space="preserve">Dans un délai de deux ans, mettre en place le vaccin ROR à deux doses dans tous les pays océaniens. </w:t>
      </w:r>
    </w:p>
    <w:p w14:paraId="18BFA00D" w14:textId="77777777"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Dans un délai de cinq ans, mettre en place les rappels du vaccin antidiphtérique, antitétanique et anticoquelucheux, conformément aux recommandations de l’OMS.</w:t>
      </w:r>
    </w:p>
    <w:p w14:paraId="0A6BDB08" w14:textId="2E43AD78"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Dans un délai de cinq ans, mettre en place la vaccination contre le HPV, les pneumococcies et les rotavirus dans tous les pays océaniens, et garantir les capacités locales nécessaires pour obtenir de manière pérenne une couverture supérieure à 95 % pour les vaccins (nouveaux et classiques). Étudier la mise en place de la vaccination contre le HPV chez les jeunes garçons à l’horizon 2030.</w:t>
      </w:r>
    </w:p>
    <w:p w14:paraId="66BE803F" w14:textId="14CBDA99" w:rsidR="00522676" w:rsidRPr="00794FD2" w:rsidRDefault="003F2367"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Dans un délai de dix ans, encourager le passage des registres de vaccination infantile sur papier aux registres électroniques afin de permettre la récupération, l’analyse, le suivi et l’évaluation des données en temps réel.</w:t>
      </w:r>
    </w:p>
    <w:p w14:paraId="354ACF86" w14:textId="57170599" w:rsidR="00FD2F21" w:rsidRPr="00794FD2" w:rsidRDefault="00FD2F21" w:rsidP="00FD2F21">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 xml:space="preserve">Dans le cadre de la stratégie d’assaut final contre la poliomyélite (2019–2023), retirer le vaccin antipoliomyélitique oral contenant le virus vivant atténué et intégrer au moins trois doses de vaccin antipoliomyélitique inactivé dans les calendriers habituels de vaccination d’ici à 2023. </w:t>
      </w:r>
    </w:p>
    <w:p w14:paraId="12080AF8" w14:textId="267FD8F8" w:rsidR="00522676" w:rsidRPr="00794FD2"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 xml:space="preserve">Concevoir ou renforcer des accords de partage de données sur la vaccination afin que la situation vaccinale des enfants déplacés puisse être partagée entre les programmes nationaux et que ces enfants </w:t>
      </w:r>
      <w:r w:rsidRPr="00794FD2">
        <w:rPr>
          <w:rFonts w:ascii="Times New Roman" w:hAnsi="Times New Roman"/>
          <w:color w:val="000000"/>
        </w:rPr>
        <w:lastRenderedPageBreak/>
        <w:t xml:space="preserve">puissent être vaccinés dans les délais prévus, et afin de soutenir l’identification et le traitement des enfants non ou insuffisamment immunisés durant les épidémies de maladies à prévention vaccinale. </w:t>
      </w:r>
    </w:p>
    <w:p w14:paraId="7C430B8E" w14:textId="77777777" w:rsidR="001D6A03" w:rsidRPr="00794FD2" w:rsidRDefault="001D6A03" w:rsidP="001D6A03">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Accorder une priorité à l’efficacité des mesures de gestion des vaccins et de renforcement de la chaîne du froid ainsi qu’aux efforts d’amélioration de la couverture habituelle, et notamment aux ressources humaines et financières nécessaires aux chaînes logistiques nationales dans ce domaine.</w:t>
      </w:r>
    </w:p>
    <w:p w14:paraId="772C5EF0" w14:textId="60B21BDC" w:rsidR="001D6A03" w:rsidRPr="00794FD2" w:rsidRDefault="001D6A03" w:rsidP="001D6A03">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Continuer à soutenir la solidarité régionale dans le cadre du mécanisme d’approvisionnement mis en place au titre de l’initiative pour l’autonomie en matière de vaccins, ainsi qu’à renforcer le respect des cycles financiers et opérationnels de l’initiative. Pour les pays qui ne participent pas encore à cette initiative, étudier les avantages du mécanisme d’approvisionnement en vaccins et autres articles nécessaires à la vaccination, d’une qualité garantie et à des prix raisonnables.</w:t>
      </w:r>
    </w:p>
    <w:p w14:paraId="599983EA" w14:textId="032ADCBF" w:rsidR="00DB477F" w:rsidRPr="00794FD2" w:rsidRDefault="00FA6FBB"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sidRPr="00794FD2">
        <w:rPr>
          <w:rFonts w:ascii="Times New Roman" w:hAnsi="Times New Roman"/>
          <w:color w:val="000000"/>
        </w:rPr>
        <w:t>Mettre en place ou augmenter les possibilités de formation des prestataires de services de vaccination à la surveillance, à l’épidémiologie et à l’évaluation des programmes. Mettre en place ou augmenter les possibilités de participation de la communauté et de la société civile à la planification, à la mise en œuvre et au suivi des activités et des programmes dans le domaine de la vaccination.</w:t>
      </w:r>
    </w:p>
    <w:p w14:paraId="71668E35" w14:textId="77777777" w:rsidR="00522676" w:rsidRPr="00794FD2" w:rsidRDefault="00522676" w:rsidP="00B153B0">
      <w:pPr>
        <w:keepNext/>
        <w:spacing w:before="480" w:after="480" w:line="360" w:lineRule="auto"/>
        <w:rPr>
          <w:rFonts w:ascii="Times New Roman" w:hAnsi="Times New Roman" w:cs="Times New Roman"/>
          <w:b/>
        </w:rPr>
      </w:pPr>
      <w:r w:rsidRPr="00794FD2">
        <w:rPr>
          <w:rFonts w:ascii="Times New Roman" w:hAnsi="Times New Roman"/>
          <w:b/>
        </w:rPr>
        <w:t>4.2</w:t>
      </w:r>
      <w:r w:rsidRPr="00794FD2">
        <w:rPr>
          <w:rFonts w:ascii="Times New Roman" w:hAnsi="Times New Roman"/>
          <w:b/>
        </w:rPr>
        <w:tab/>
        <w:t>Recommandations à l’intention des partenaires du développement</w:t>
      </w:r>
    </w:p>
    <w:p w14:paraId="066A7E2B" w14:textId="3F3A5F89" w:rsidR="00522676" w:rsidRPr="00794FD2" w:rsidRDefault="00467DDF" w:rsidP="006E4FCB">
      <w:pPr>
        <w:numPr>
          <w:ilvl w:val="0"/>
          <w:numId w:val="2"/>
        </w:numPr>
        <w:spacing w:before="480" w:after="0" w:line="360" w:lineRule="auto"/>
        <w:ind w:left="425"/>
        <w:jc w:val="both"/>
        <w:rPr>
          <w:rFonts w:ascii="Times New Roman" w:eastAsia="Times New Roman" w:hAnsi="Times New Roman" w:cs="Times New Roman"/>
        </w:rPr>
      </w:pPr>
      <w:r w:rsidRPr="00794FD2">
        <w:rPr>
          <w:rFonts w:ascii="Times New Roman" w:hAnsi="Times New Roman"/>
        </w:rPr>
        <w:t xml:space="preserve">Coordonner le soutien aux efforts déployés par les pays océaniens en vue de mettre en place des plans de vaccination complets et durables pour les dix prochaines années, dans le cadre d’un processus de consultation couvrant le renforcement global des systèmes de santé, l’introduction de nouveaux vaccins, la réticence face à la vaccination, la gestion efficace des vaccins, les infrastructures de la chaîne du froid, la planification de la demande et la sécurité de l’approvisionnement, et veiller à l’harmonisation de ces efforts. </w:t>
      </w:r>
    </w:p>
    <w:p w14:paraId="3E76F54A" w14:textId="1E633EA4" w:rsidR="00522676" w:rsidRPr="00794FD2" w:rsidRDefault="006E00C1" w:rsidP="006E4FCB">
      <w:pPr>
        <w:numPr>
          <w:ilvl w:val="0"/>
          <w:numId w:val="2"/>
        </w:numPr>
        <w:spacing w:after="480" w:line="360" w:lineRule="auto"/>
        <w:ind w:left="425"/>
        <w:jc w:val="both"/>
        <w:rPr>
          <w:rFonts w:ascii="Times New Roman" w:eastAsia="Times New Roman" w:hAnsi="Times New Roman" w:cs="Times New Roman"/>
        </w:rPr>
      </w:pPr>
      <w:r w:rsidRPr="00794FD2">
        <w:rPr>
          <w:rFonts w:ascii="Times New Roman" w:hAnsi="Times New Roman"/>
        </w:rPr>
        <w:t>Étudier les ressources à mettre en œuvre pour harmoniser les calendriers de vaccinations des enfants et des adolescents océaniens d’ici à 2025.</w:t>
      </w:r>
    </w:p>
    <w:p w14:paraId="26D3D9A3" w14:textId="6439EAB9" w:rsidR="00522676" w:rsidRPr="00794FD2" w:rsidRDefault="00BE74E7" w:rsidP="00381E7C">
      <w:pPr>
        <w:spacing w:after="0" w:line="360" w:lineRule="auto"/>
        <w:ind w:left="851" w:hanging="851"/>
        <w:rPr>
          <w:rFonts w:ascii="Times New Roman" w:eastAsia="Times New Roman" w:hAnsi="Times New Roman" w:cs="Times New Roman"/>
        </w:rPr>
      </w:pPr>
      <w:r w:rsidRPr="00794FD2">
        <w:rPr>
          <w:rFonts w:ascii="Times New Roman" w:hAnsi="Times New Roman"/>
        </w:rPr>
        <w:t>Appendice 1 : Recommandation de calendrier de vaccination des enfants et des adolescents dans le Pacifique</w:t>
      </w:r>
    </w:p>
    <w:p w14:paraId="2850F6BE" w14:textId="0D0CC1A6" w:rsidR="008F7F4B" w:rsidRPr="00794FD2" w:rsidRDefault="00BE74E7" w:rsidP="00381E7C">
      <w:pPr>
        <w:spacing w:after="0" w:line="360" w:lineRule="auto"/>
        <w:ind w:left="851" w:hanging="851"/>
        <w:rPr>
          <w:rFonts w:ascii="Times New Roman" w:eastAsia="Times New Roman" w:hAnsi="Times New Roman" w:cs="Times New Roman"/>
        </w:rPr>
      </w:pPr>
      <w:r w:rsidRPr="00794FD2">
        <w:rPr>
          <w:rFonts w:ascii="Times New Roman" w:hAnsi="Times New Roman"/>
        </w:rPr>
        <w:t>Appendice 2 : Données administratives sur la couverture vaccinale en Océanie pour l’année 2018, tirées du processus conjoint de déclaration OMS/UNICEF</w:t>
      </w:r>
    </w:p>
    <w:p w14:paraId="77EF6050" w14:textId="039BC617" w:rsidR="00590B0C" w:rsidRPr="00794FD2" w:rsidRDefault="00BE74E7" w:rsidP="00381E7C">
      <w:pPr>
        <w:spacing w:after="0" w:line="360" w:lineRule="auto"/>
        <w:ind w:left="851" w:hanging="851"/>
        <w:jc w:val="center"/>
        <w:rPr>
          <w:rFonts w:ascii="Times New Roman" w:eastAsia="Times New Roman" w:hAnsi="Times New Roman" w:cs="Times New Roman"/>
        </w:rPr>
      </w:pPr>
      <w:r w:rsidRPr="00794FD2">
        <w:rPr>
          <w:rFonts w:ascii="Times New Roman" w:hAnsi="Times New Roman"/>
        </w:rPr>
        <w:t>Appendice 3 : Cadre de résultats pour le renforcement des programmes de vaccination en Océanie, 2020–2030</w:t>
      </w:r>
    </w:p>
    <w:p w14:paraId="0EB1EC52" w14:textId="4F34C67B" w:rsidR="00522676" w:rsidRPr="00794FD2" w:rsidRDefault="00E23882" w:rsidP="00381E7C">
      <w:pPr>
        <w:keepNext/>
        <w:spacing w:before="480" w:after="480" w:line="360" w:lineRule="auto"/>
        <w:rPr>
          <w:rFonts w:ascii="Times New Roman" w:eastAsia="Times New Roman" w:hAnsi="Times New Roman" w:cs="Times New Roman"/>
        </w:rPr>
      </w:pPr>
      <w:r w:rsidRPr="00794FD2">
        <w:rPr>
          <w:rFonts w:ascii="Times New Roman" w:hAnsi="Times New Roman"/>
        </w:rPr>
        <w:lastRenderedPageBreak/>
        <w:t>Annexe 1 : Version longue de l’étude de cas et feuille de route pour le calendrier de vaccination des enfants et des adolescents dans le Pacifique (document distinct)</w:t>
      </w:r>
    </w:p>
    <w:p w14:paraId="5AC3B2E5" w14:textId="77777777" w:rsidR="00FD2F21" w:rsidRPr="00794FD2" w:rsidRDefault="00FD2F21" w:rsidP="00012ED7">
      <w:pPr>
        <w:spacing w:after="0" w:line="360" w:lineRule="auto"/>
        <w:ind w:left="851" w:hanging="851"/>
        <w:jc w:val="both"/>
        <w:rPr>
          <w:rFonts w:ascii="Times New Roman" w:eastAsia="Times New Roman" w:hAnsi="Times New Roman" w:cs="Times New Roman"/>
        </w:rPr>
      </w:pPr>
    </w:p>
    <w:p w14:paraId="20B2E25F" w14:textId="77777777" w:rsidR="00522676" w:rsidRPr="00794FD2" w:rsidRDefault="00522676" w:rsidP="00522676">
      <w:pPr>
        <w:rPr>
          <w:rFonts w:ascii="Times New Roman" w:eastAsia="Times New Roman" w:hAnsi="Times New Roman" w:cs="Times New Roman"/>
        </w:rPr>
      </w:pPr>
      <w:r w:rsidRPr="00794FD2">
        <w:br w:type="page"/>
      </w:r>
    </w:p>
    <w:p w14:paraId="09A30E90" w14:textId="79A93169" w:rsidR="00522676" w:rsidRPr="00794FD2" w:rsidRDefault="00BE74E7" w:rsidP="00522676">
      <w:pPr>
        <w:spacing w:after="0" w:line="360" w:lineRule="auto"/>
        <w:jc w:val="both"/>
        <w:rPr>
          <w:b/>
          <w:sz w:val="24"/>
          <w:szCs w:val="24"/>
        </w:rPr>
      </w:pPr>
      <w:r w:rsidRPr="00794FD2">
        <w:rPr>
          <w:b/>
          <w:sz w:val="24"/>
          <w:szCs w:val="24"/>
        </w:rPr>
        <w:lastRenderedPageBreak/>
        <w:t>Appendice 1 : Recommandation de calendrier de vaccination des enfants et des adolescents dans le Pacifique</w:t>
      </w:r>
      <w:r w:rsidR="00522676" w:rsidRPr="00794FD2">
        <w:rPr>
          <w:b/>
          <w:sz w:val="24"/>
          <w:szCs w:val="24"/>
          <w:vertAlign w:val="superscript"/>
        </w:rPr>
        <w:footnoteReference w:id="5"/>
      </w:r>
    </w:p>
    <w:tbl>
      <w:tblPr>
        <w:tblW w:w="9605" w:type="dxa"/>
        <w:tblLayout w:type="fixed"/>
        <w:tblLook w:val="0400" w:firstRow="0" w:lastRow="0" w:firstColumn="0" w:lastColumn="0" w:noHBand="0" w:noVBand="1"/>
      </w:tblPr>
      <w:tblGrid>
        <w:gridCol w:w="2345"/>
        <w:gridCol w:w="1785"/>
        <w:gridCol w:w="5475"/>
      </w:tblGrid>
      <w:tr w:rsidR="00522676" w:rsidRPr="00794FD2" w14:paraId="70C168D9" w14:textId="77777777" w:rsidTr="0079028A">
        <w:trPr>
          <w:trHeight w:val="340"/>
        </w:trPr>
        <w:tc>
          <w:tcPr>
            <w:tcW w:w="9605" w:type="dxa"/>
            <w:gridSpan w:val="3"/>
            <w:tcBorders>
              <w:top w:val="nil"/>
              <w:left w:val="nil"/>
              <w:bottom w:val="single" w:sz="4" w:space="0" w:color="000000"/>
              <w:right w:val="nil"/>
            </w:tcBorders>
            <w:vAlign w:val="center"/>
          </w:tcPr>
          <w:p w14:paraId="4F7258B1" w14:textId="77777777" w:rsidR="00522676" w:rsidRPr="00794FD2" w:rsidRDefault="00522676" w:rsidP="0079028A">
            <w:pPr>
              <w:spacing w:after="0" w:line="240" w:lineRule="auto"/>
              <w:rPr>
                <w:b/>
                <w:color w:val="000000"/>
              </w:rPr>
            </w:pPr>
          </w:p>
        </w:tc>
      </w:tr>
      <w:tr w:rsidR="00522676" w:rsidRPr="00794FD2" w14:paraId="2385C544"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bottom"/>
          </w:tcPr>
          <w:p w14:paraId="46E031E9" w14:textId="77777777" w:rsidR="00522676" w:rsidRPr="00794FD2" w:rsidRDefault="00522676" w:rsidP="0079028A">
            <w:pPr>
              <w:spacing w:line="240" w:lineRule="auto"/>
              <w:rPr>
                <w:b/>
                <w:color w:val="000000"/>
                <w:sz w:val="24"/>
                <w:szCs w:val="24"/>
              </w:rPr>
            </w:pPr>
            <w:r w:rsidRPr="00794FD2">
              <w:rPr>
                <w:rFonts w:ascii="Calibri" w:hAnsi="Calibri"/>
                <w:b/>
                <w:color w:val="000000"/>
                <w:sz w:val="24"/>
                <w:szCs w:val="24"/>
              </w:rPr>
              <w:t>Âge | Intervalle</w:t>
            </w:r>
          </w:p>
        </w:tc>
        <w:tc>
          <w:tcPr>
            <w:tcW w:w="1785" w:type="dxa"/>
            <w:tcBorders>
              <w:top w:val="single" w:sz="4" w:space="0" w:color="000000"/>
              <w:left w:val="single" w:sz="4" w:space="0" w:color="000000"/>
              <w:bottom w:val="single" w:sz="4" w:space="0" w:color="000000"/>
              <w:right w:val="nil"/>
            </w:tcBorders>
            <w:shd w:val="clear" w:color="auto" w:fill="auto"/>
            <w:vAlign w:val="bottom"/>
          </w:tcPr>
          <w:p w14:paraId="21E792D6" w14:textId="77777777" w:rsidR="00522676" w:rsidRPr="00794FD2" w:rsidRDefault="00522676" w:rsidP="0079028A">
            <w:pPr>
              <w:spacing w:line="240" w:lineRule="auto"/>
              <w:rPr>
                <w:b/>
                <w:color w:val="000000"/>
                <w:sz w:val="24"/>
                <w:szCs w:val="24"/>
              </w:rPr>
            </w:pPr>
            <w:r w:rsidRPr="00794FD2">
              <w:rPr>
                <w:rFonts w:ascii="Calibri" w:hAnsi="Calibri"/>
                <w:b/>
                <w:color w:val="000000"/>
                <w:sz w:val="24"/>
                <w:szCs w:val="24"/>
              </w:rPr>
              <w:t>Vaccin</w:t>
            </w:r>
          </w:p>
        </w:tc>
        <w:tc>
          <w:tcPr>
            <w:tcW w:w="5475" w:type="dxa"/>
            <w:tcBorders>
              <w:top w:val="single" w:sz="4" w:space="0" w:color="000000"/>
              <w:left w:val="nil"/>
              <w:bottom w:val="single" w:sz="4" w:space="0" w:color="000000"/>
              <w:right w:val="nil"/>
            </w:tcBorders>
            <w:shd w:val="clear" w:color="auto" w:fill="FFFFFF"/>
            <w:vAlign w:val="bottom"/>
          </w:tcPr>
          <w:p w14:paraId="4BF8D164" w14:textId="77777777" w:rsidR="00522676" w:rsidRPr="00794FD2" w:rsidRDefault="00522676" w:rsidP="0079028A">
            <w:pPr>
              <w:spacing w:line="240" w:lineRule="auto"/>
              <w:rPr>
                <w:b/>
                <w:color w:val="000000"/>
                <w:sz w:val="24"/>
                <w:szCs w:val="24"/>
              </w:rPr>
            </w:pPr>
            <w:r w:rsidRPr="00794FD2">
              <w:rPr>
                <w:rFonts w:ascii="Calibri" w:hAnsi="Calibri"/>
                <w:b/>
                <w:color w:val="000000"/>
                <w:sz w:val="24"/>
                <w:szCs w:val="24"/>
              </w:rPr>
              <w:t>Maladie</w:t>
            </w:r>
          </w:p>
        </w:tc>
      </w:tr>
      <w:tr w:rsidR="00522676" w:rsidRPr="00794FD2" w14:paraId="2E868023"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auto"/>
            <w:vAlign w:val="center"/>
          </w:tcPr>
          <w:p w14:paraId="5DED96AC"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 xml:space="preserve">Naissance </w:t>
            </w:r>
          </w:p>
        </w:tc>
        <w:tc>
          <w:tcPr>
            <w:tcW w:w="1785" w:type="dxa"/>
            <w:tcBorders>
              <w:top w:val="single" w:sz="4" w:space="0" w:color="000000"/>
              <w:left w:val="single" w:sz="4" w:space="0" w:color="000000"/>
              <w:bottom w:val="nil"/>
              <w:right w:val="nil"/>
            </w:tcBorders>
            <w:shd w:val="clear" w:color="auto" w:fill="FFFFFF"/>
          </w:tcPr>
          <w:p w14:paraId="7EBA1D92"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BCG</w:t>
            </w:r>
            <w:r w:rsidRPr="00794FD2">
              <w:rPr>
                <w:rFonts w:ascii="Calibri" w:eastAsia="Calibri" w:hAnsi="Calibri" w:cs="Calibri"/>
                <w:color w:val="000000"/>
                <w:sz w:val="21"/>
                <w:szCs w:val="21"/>
                <w:vertAlign w:val="superscript"/>
              </w:rPr>
              <w:footnoteReference w:id="6"/>
            </w:r>
          </w:p>
        </w:tc>
        <w:tc>
          <w:tcPr>
            <w:tcW w:w="5475" w:type="dxa"/>
            <w:tcBorders>
              <w:top w:val="single" w:sz="4" w:space="0" w:color="000000"/>
              <w:left w:val="nil"/>
              <w:bottom w:val="nil"/>
              <w:right w:val="nil"/>
            </w:tcBorders>
            <w:shd w:val="clear" w:color="auto" w:fill="FFFFFF"/>
          </w:tcPr>
          <w:p w14:paraId="450D691E"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Tuberculose</w:t>
            </w:r>
            <w:r w:rsidRPr="00794FD2">
              <w:rPr>
                <w:sz w:val="21"/>
                <w:szCs w:val="21"/>
              </w:rPr>
              <w:t xml:space="preserve"> (administré dans certains pays uniquement)</w:t>
            </w:r>
          </w:p>
        </w:tc>
      </w:tr>
      <w:tr w:rsidR="00522676" w:rsidRPr="00794FD2" w14:paraId="5AF5CCC0"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78EE8931"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auto"/>
          </w:tcPr>
          <w:p w14:paraId="72120BC4"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Hépatite B</w:t>
            </w:r>
          </w:p>
        </w:tc>
        <w:tc>
          <w:tcPr>
            <w:tcW w:w="5475" w:type="dxa"/>
            <w:tcBorders>
              <w:top w:val="nil"/>
              <w:left w:val="nil"/>
              <w:bottom w:val="single" w:sz="4" w:space="0" w:color="000000"/>
              <w:right w:val="nil"/>
            </w:tcBorders>
            <w:shd w:val="clear" w:color="auto" w:fill="FFFFFF"/>
          </w:tcPr>
          <w:p w14:paraId="395A5EDB"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Hépatite B</w:t>
            </w:r>
          </w:p>
        </w:tc>
      </w:tr>
      <w:tr w:rsidR="00522676" w:rsidRPr="00794FD2" w14:paraId="4945843C" w14:textId="77777777" w:rsidTr="0079028A">
        <w:trPr>
          <w:trHeight w:val="600"/>
        </w:trPr>
        <w:tc>
          <w:tcPr>
            <w:tcW w:w="2345" w:type="dxa"/>
            <w:vMerge w:val="restart"/>
            <w:tcBorders>
              <w:top w:val="single" w:sz="4" w:space="0" w:color="000000"/>
              <w:left w:val="nil"/>
              <w:bottom w:val="nil"/>
              <w:right w:val="single" w:sz="4" w:space="0" w:color="000000"/>
            </w:tcBorders>
            <w:shd w:val="clear" w:color="auto" w:fill="auto"/>
            <w:vAlign w:val="center"/>
          </w:tcPr>
          <w:p w14:paraId="22BCCFBF"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 xml:space="preserve">2 mois </w:t>
            </w:r>
          </w:p>
          <w:p w14:paraId="407A9EBD" w14:textId="69CF646E"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Peut être administré dès 6 semaines</w:t>
            </w:r>
          </w:p>
        </w:tc>
        <w:tc>
          <w:tcPr>
            <w:tcW w:w="1785" w:type="dxa"/>
            <w:tcBorders>
              <w:top w:val="single" w:sz="4" w:space="0" w:color="000000"/>
              <w:left w:val="single" w:sz="4" w:space="0" w:color="000000"/>
              <w:bottom w:val="nil"/>
              <w:right w:val="nil"/>
            </w:tcBorders>
            <w:shd w:val="clear" w:color="auto" w:fill="FFFFFF"/>
          </w:tcPr>
          <w:p w14:paraId="3B289605" w14:textId="5194B5A2"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DTC, Hib, Hépatite B 1</w:t>
            </w:r>
            <w:r w:rsidR="00023FFE" w:rsidRPr="00794FD2">
              <w:rPr>
                <w:rStyle w:val="FootnoteReference"/>
                <w:rFonts w:ascii="Calibri" w:eastAsia="Calibri" w:hAnsi="Calibri" w:cs="Calibri"/>
                <w:color w:val="000000"/>
                <w:sz w:val="21"/>
                <w:szCs w:val="21"/>
              </w:rPr>
              <w:footnoteReference w:id="7"/>
            </w:r>
          </w:p>
        </w:tc>
        <w:tc>
          <w:tcPr>
            <w:tcW w:w="5475" w:type="dxa"/>
            <w:tcBorders>
              <w:top w:val="single" w:sz="4" w:space="0" w:color="000000"/>
              <w:left w:val="nil"/>
              <w:bottom w:val="nil"/>
              <w:right w:val="nil"/>
            </w:tcBorders>
            <w:shd w:val="clear" w:color="auto" w:fill="auto"/>
          </w:tcPr>
          <w:p w14:paraId="1F102419"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 xml:space="preserve">Diphtérie, tétanos, coqueluche, hépatite B, </w:t>
            </w:r>
            <w:r w:rsidRPr="00794FD2">
              <w:rPr>
                <w:rFonts w:ascii="Calibri" w:hAnsi="Calibri"/>
                <w:i/>
                <w:color w:val="000000"/>
                <w:sz w:val="21"/>
                <w:szCs w:val="21"/>
              </w:rPr>
              <w:t>Haemophilus influenzae</w:t>
            </w:r>
            <w:r w:rsidRPr="00794FD2">
              <w:rPr>
                <w:rFonts w:ascii="Calibri" w:hAnsi="Calibri"/>
                <w:color w:val="000000"/>
                <w:sz w:val="21"/>
                <w:szCs w:val="21"/>
              </w:rPr>
              <w:t xml:space="preserve"> de type b (Hib)</w:t>
            </w:r>
          </w:p>
        </w:tc>
      </w:tr>
      <w:tr w:rsidR="00522676" w:rsidRPr="00794FD2" w14:paraId="1F209E02"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0AEED1A2"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06ECF38B"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VPC 1</w:t>
            </w:r>
          </w:p>
        </w:tc>
        <w:tc>
          <w:tcPr>
            <w:tcW w:w="5475" w:type="dxa"/>
            <w:tcBorders>
              <w:top w:val="nil"/>
              <w:left w:val="nil"/>
              <w:bottom w:val="nil"/>
              <w:right w:val="nil"/>
            </w:tcBorders>
            <w:shd w:val="clear" w:color="auto" w:fill="auto"/>
          </w:tcPr>
          <w:p w14:paraId="4B47DE1B"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Pneumococcie</w:t>
            </w:r>
          </w:p>
        </w:tc>
      </w:tr>
      <w:tr w:rsidR="00522676" w:rsidRPr="00794FD2" w14:paraId="51C438A0"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415A714B"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45B9176C"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Rotavirus 1</w:t>
            </w:r>
          </w:p>
        </w:tc>
        <w:tc>
          <w:tcPr>
            <w:tcW w:w="5475" w:type="dxa"/>
            <w:tcBorders>
              <w:top w:val="nil"/>
              <w:left w:val="nil"/>
              <w:bottom w:val="nil"/>
              <w:right w:val="nil"/>
            </w:tcBorders>
            <w:shd w:val="clear" w:color="auto" w:fill="auto"/>
          </w:tcPr>
          <w:p w14:paraId="68C46785"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 xml:space="preserve">Rotavirus </w:t>
            </w:r>
          </w:p>
        </w:tc>
      </w:tr>
      <w:tr w:rsidR="00522676" w:rsidRPr="00794FD2" w14:paraId="6EF4944A"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6FBD2DC2"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FFFFFF"/>
          </w:tcPr>
          <w:p w14:paraId="4791714C"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VPI 1</w:t>
            </w:r>
          </w:p>
        </w:tc>
        <w:tc>
          <w:tcPr>
            <w:tcW w:w="5475" w:type="dxa"/>
            <w:tcBorders>
              <w:top w:val="nil"/>
              <w:left w:val="nil"/>
              <w:bottom w:val="single" w:sz="4" w:space="0" w:color="000000"/>
              <w:right w:val="nil"/>
            </w:tcBorders>
            <w:shd w:val="clear" w:color="auto" w:fill="FFFFFF"/>
          </w:tcPr>
          <w:p w14:paraId="31B45A2F"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Poliomyélite</w:t>
            </w:r>
          </w:p>
        </w:tc>
      </w:tr>
      <w:tr w:rsidR="00522676" w:rsidRPr="00794FD2" w14:paraId="6744A1B6"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FFFFFF"/>
            <w:vAlign w:val="center"/>
          </w:tcPr>
          <w:p w14:paraId="37E9C535"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4 mois</w:t>
            </w:r>
          </w:p>
        </w:tc>
        <w:tc>
          <w:tcPr>
            <w:tcW w:w="1785" w:type="dxa"/>
            <w:tcBorders>
              <w:top w:val="single" w:sz="4" w:space="0" w:color="000000"/>
              <w:left w:val="single" w:sz="4" w:space="0" w:color="000000"/>
              <w:bottom w:val="nil"/>
              <w:right w:val="nil"/>
            </w:tcBorders>
            <w:shd w:val="clear" w:color="auto" w:fill="FFFFFF"/>
          </w:tcPr>
          <w:p w14:paraId="1E3F5281" w14:textId="5108FA1E"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DTC, Hib, Hépatite B 2</w:t>
            </w:r>
          </w:p>
        </w:tc>
        <w:tc>
          <w:tcPr>
            <w:tcW w:w="5475" w:type="dxa"/>
            <w:tcBorders>
              <w:top w:val="single" w:sz="4" w:space="0" w:color="000000"/>
              <w:left w:val="nil"/>
              <w:bottom w:val="nil"/>
              <w:right w:val="nil"/>
            </w:tcBorders>
            <w:shd w:val="clear" w:color="auto" w:fill="auto"/>
          </w:tcPr>
          <w:p w14:paraId="7E4CE6F1"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Diphtérie, tétanos, coqueluche, hépatite B, Hib</w:t>
            </w:r>
          </w:p>
        </w:tc>
      </w:tr>
      <w:tr w:rsidR="00522676" w:rsidRPr="00794FD2" w14:paraId="0C3AC306"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4EFCAE30"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4EB356EE"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VPC 2</w:t>
            </w:r>
          </w:p>
        </w:tc>
        <w:tc>
          <w:tcPr>
            <w:tcW w:w="5475" w:type="dxa"/>
            <w:tcBorders>
              <w:top w:val="nil"/>
              <w:left w:val="nil"/>
              <w:bottom w:val="nil"/>
              <w:right w:val="nil"/>
            </w:tcBorders>
            <w:shd w:val="clear" w:color="auto" w:fill="auto"/>
          </w:tcPr>
          <w:p w14:paraId="511ACD17"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Pneumococcie</w:t>
            </w:r>
          </w:p>
        </w:tc>
      </w:tr>
      <w:tr w:rsidR="00522676" w:rsidRPr="00794FD2" w14:paraId="70AE04E4"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45588496"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6FE34C4D"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Rotavirus 2</w:t>
            </w:r>
          </w:p>
        </w:tc>
        <w:tc>
          <w:tcPr>
            <w:tcW w:w="5475" w:type="dxa"/>
            <w:tcBorders>
              <w:top w:val="nil"/>
              <w:left w:val="nil"/>
              <w:bottom w:val="nil"/>
              <w:right w:val="nil"/>
            </w:tcBorders>
            <w:shd w:val="clear" w:color="auto" w:fill="auto"/>
          </w:tcPr>
          <w:p w14:paraId="7DF30FB1"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Rotavirus</w:t>
            </w:r>
          </w:p>
        </w:tc>
      </w:tr>
      <w:tr w:rsidR="00522676" w:rsidRPr="00794FD2" w14:paraId="07728233"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5EFE87F3"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65B26F7C" w14:textId="77777777" w:rsidR="00522676" w:rsidRPr="00794FD2" w:rsidRDefault="00522676" w:rsidP="0079028A">
            <w:pPr>
              <w:spacing w:after="0" w:line="240" w:lineRule="auto"/>
              <w:rPr>
                <w:color w:val="000000"/>
                <w:sz w:val="21"/>
                <w:szCs w:val="21"/>
              </w:rPr>
            </w:pPr>
            <w:r w:rsidRPr="00794FD2">
              <w:rPr>
                <w:sz w:val="21"/>
                <w:szCs w:val="21"/>
              </w:rPr>
              <w:t>VPI 2</w:t>
            </w:r>
          </w:p>
        </w:tc>
        <w:tc>
          <w:tcPr>
            <w:tcW w:w="5475" w:type="dxa"/>
            <w:tcBorders>
              <w:top w:val="nil"/>
              <w:left w:val="nil"/>
              <w:bottom w:val="nil"/>
              <w:right w:val="nil"/>
            </w:tcBorders>
            <w:shd w:val="clear" w:color="auto" w:fill="auto"/>
          </w:tcPr>
          <w:p w14:paraId="096BCBB5" w14:textId="77777777" w:rsidR="00522676" w:rsidRPr="00794FD2" w:rsidRDefault="00522676" w:rsidP="0079028A">
            <w:pPr>
              <w:spacing w:after="0" w:line="240" w:lineRule="auto"/>
              <w:rPr>
                <w:color w:val="000000"/>
                <w:sz w:val="21"/>
                <w:szCs w:val="21"/>
              </w:rPr>
            </w:pPr>
            <w:r w:rsidRPr="00794FD2">
              <w:rPr>
                <w:sz w:val="21"/>
                <w:szCs w:val="21"/>
              </w:rPr>
              <w:t>Poliomyélite</w:t>
            </w:r>
          </w:p>
        </w:tc>
      </w:tr>
      <w:tr w:rsidR="00522676" w:rsidRPr="00794FD2" w14:paraId="301F64E7"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FFFFFF"/>
            <w:vAlign w:val="center"/>
          </w:tcPr>
          <w:p w14:paraId="4EF98EC8"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6 mois</w:t>
            </w:r>
          </w:p>
        </w:tc>
        <w:tc>
          <w:tcPr>
            <w:tcW w:w="1785" w:type="dxa"/>
            <w:tcBorders>
              <w:top w:val="single" w:sz="4" w:space="0" w:color="000000"/>
              <w:left w:val="single" w:sz="4" w:space="0" w:color="000000"/>
              <w:bottom w:val="nil"/>
              <w:right w:val="nil"/>
            </w:tcBorders>
            <w:shd w:val="clear" w:color="auto" w:fill="FFFFFF"/>
          </w:tcPr>
          <w:p w14:paraId="56E76798" w14:textId="60702AD0"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DTC, Hib, Hépatite B 3</w:t>
            </w:r>
          </w:p>
        </w:tc>
        <w:tc>
          <w:tcPr>
            <w:tcW w:w="5475" w:type="dxa"/>
            <w:tcBorders>
              <w:top w:val="single" w:sz="4" w:space="0" w:color="000000"/>
              <w:left w:val="nil"/>
              <w:bottom w:val="nil"/>
              <w:right w:val="nil"/>
            </w:tcBorders>
            <w:shd w:val="clear" w:color="auto" w:fill="auto"/>
          </w:tcPr>
          <w:p w14:paraId="067E235D"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Diphtérie, tétanos, coqueluche, hépatite B, Hib</w:t>
            </w:r>
          </w:p>
        </w:tc>
      </w:tr>
      <w:tr w:rsidR="00522676" w:rsidRPr="00794FD2" w14:paraId="668ADEB8"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3F6EBBA6"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16219EF5" w14:textId="77777777" w:rsidR="00522676" w:rsidRPr="00794FD2" w:rsidRDefault="00522676" w:rsidP="0079028A">
            <w:pPr>
              <w:spacing w:after="0" w:line="240" w:lineRule="auto"/>
              <w:rPr>
                <w:rFonts w:ascii="Calibri" w:eastAsia="Calibri" w:hAnsi="Calibri" w:cs="Calibri"/>
                <w:color w:val="000000"/>
                <w:sz w:val="21"/>
                <w:szCs w:val="21"/>
              </w:rPr>
            </w:pPr>
            <w:r w:rsidRPr="00794FD2">
              <w:rPr>
                <w:rFonts w:ascii="Calibri" w:hAnsi="Calibri"/>
                <w:color w:val="000000"/>
                <w:sz w:val="21"/>
                <w:szCs w:val="21"/>
              </w:rPr>
              <w:t>VPC 3</w:t>
            </w:r>
          </w:p>
          <w:p w14:paraId="22DBD3B4" w14:textId="77777777" w:rsidR="00341682" w:rsidRPr="00794FD2" w:rsidRDefault="00341682" w:rsidP="0079028A">
            <w:pPr>
              <w:spacing w:after="0" w:line="240" w:lineRule="auto"/>
              <w:rPr>
                <w:color w:val="000000"/>
                <w:sz w:val="21"/>
                <w:szCs w:val="21"/>
              </w:rPr>
            </w:pPr>
            <w:r w:rsidRPr="00794FD2">
              <w:rPr>
                <w:rFonts w:ascii="Calibri" w:hAnsi="Calibri"/>
                <w:color w:val="000000"/>
                <w:sz w:val="21"/>
                <w:szCs w:val="21"/>
              </w:rPr>
              <w:t>Rotavirus 3</w:t>
            </w:r>
          </w:p>
        </w:tc>
        <w:tc>
          <w:tcPr>
            <w:tcW w:w="5475" w:type="dxa"/>
            <w:tcBorders>
              <w:top w:val="nil"/>
              <w:left w:val="nil"/>
              <w:bottom w:val="nil"/>
              <w:right w:val="nil"/>
            </w:tcBorders>
            <w:shd w:val="clear" w:color="auto" w:fill="auto"/>
          </w:tcPr>
          <w:p w14:paraId="66556ACB" w14:textId="77777777" w:rsidR="00522676" w:rsidRPr="00794FD2" w:rsidRDefault="00522676" w:rsidP="0079028A">
            <w:pPr>
              <w:spacing w:after="0" w:line="240" w:lineRule="auto"/>
              <w:rPr>
                <w:rFonts w:ascii="Calibri" w:eastAsia="Calibri" w:hAnsi="Calibri" w:cs="Calibri"/>
                <w:color w:val="000000"/>
                <w:sz w:val="21"/>
                <w:szCs w:val="21"/>
              </w:rPr>
            </w:pPr>
            <w:r w:rsidRPr="00794FD2">
              <w:rPr>
                <w:rFonts w:ascii="Calibri" w:hAnsi="Calibri"/>
                <w:color w:val="000000"/>
                <w:sz w:val="21"/>
                <w:szCs w:val="21"/>
              </w:rPr>
              <w:t>Pneumococcie</w:t>
            </w:r>
          </w:p>
          <w:p w14:paraId="75EED5BE" w14:textId="7FF1D764" w:rsidR="00341682" w:rsidRPr="00794FD2" w:rsidRDefault="00341682" w:rsidP="0079028A">
            <w:pPr>
              <w:spacing w:after="0" w:line="240" w:lineRule="auto"/>
              <w:rPr>
                <w:color w:val="000000"/>
                <w:sz w:val="21"/>
                <w:szCs w:val="21"/>
              </w:rPr>
            </w:pPr>
            <w:r w:rsidRPr="00794FD2">
              <w:rPr>
                <w:rFonts w:ascii="Calibri" w:hAnsi="Calibri"/>
                <w:color w:val="000000"/>
                <w:sz w:val="21"/>
              </w:rPr>
              <w:t>Rotavirus (si nécessaire</w:t>
            </w:r>
            <w:r w:rsidRPr="00794FD2">
              <w:rPr>
                <w:rFonts w:ascii="Calibri" w:hAnsi="Calibri"/>
                <w:color w:val="000000"/>
                <w:sz w:val="21"/>
                <w:szCs w:val="21"/>
              </w:rPr>
              <w:t xml:space="preserve">) </w:t>
            </w:r>
          </w:p>
        </w:tc>
      </w:tr>
      <w:tr w:rsidR="00522676" w:rsidRPr="00794FD2" w14:paraId="1ABC9865"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788F2D0E"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FFFFFF"/>
          </w:tcPr>
          <w:p w14:paraId="27C067BA"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VPI 3</w:t>
            </w:r>
          </w:p>
        </w:tc>
        <w:tc>
          <w:tcPr>
            <w:tcW w:w="5475" w:type="dxa"/>
            <w:tcBorders>
              <w:top w:val="nil"/>
              <w:left w:val="nil"/>
              <w:bottom w:val="single" w:sz="4" w:space="0" w:color="000000"/>
              <w:right w:val="nil"/>
            </w:tcBorders>
            <w:shd w:val="clear" w:color="auto" w:fill="FFFFFF"/>
          </w:tcPr>
          <w:p w14:paraId="1B5804CB" w14:textId="03F0059A"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Poliomyélite</w:t>
            </w:r>
          </w:p>
        </w:tc>
      </w:tr>
      <w:tr w:rsidR="00522676" w:rsidRPr="00794FD2" w14:paraId="787E7BB1"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center"/>
          </w:tcPr>
          <w:p w14:paraId="502F1A74"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12 mois</w:t>
            </w:r>
          </w:p>
        </w:tc>
        <w:tc>
          <w:tcPr>
            <w:tcW w:w="1785" w:type="dxa"/>
            <w:tcBorders>
              <w:top w:val="single" w:sz="4" w:space="0" w:color="000000"/>
              <w:left w:val="single" w:sz="4" w:space="0" w:color="000000"/>
              <w:bottom w:val="single" w:sz="4" w:space="0" w:color="000000"/>
              <w:right w:val="nil"/>
            </w:tcBorders>
            <w:shd w:val="clear" w:color="auto" w:fill="auto"/>
          </w:tcPr>
          <w:p w14:paraId="3A16C416"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ROR 1</w:t>
            </w:r>
            <w:r w:rsidR="00012ED7" w:rsidRPr="00794FD2">
              <w:rPr>
                <w:rStyle w:val="FootnoteReference"/>
                <w:rFonts w:ascii="Calibri" w:eastAsia="Calibri" w:hAnsi="Calibri" w:cs="Calibri"/>
                <w:color w:val="000000"/>
                <w:sz w:val="21"/>
                <w:szCs w:val="21"/>
              </w:rPr>
              <w:footnoteReference w:id="8"/>
            </w:r>
          </w:p>
        </w:tc>
        <w:tc>
          <w:tcPr>
            <w:tcW w:w="5475" w:type="dxa"/>
            <w:tcBorders>
              <w:top w:val="single" w:sz="4" w:space="0" w:color="000000"/>
              <w:left w:val="nil"/>
              <w:bottom w:val="single" w:sz="4" w:space="0" w:color="000000"/>
              <w:right w:val="nil"/>
            </w:tcBorders>
            <w:shd w:val="clear" w:color="auto" w:fill="FFFFFF"/>
          </w:tcPr>
          <w:p w14:paraId="166D41B5"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Rougeole, oreillons, rubéole</w:t>
            </w:r>
          </w:p>
        </w:tc>
      </w:tr>
      <w:tr w:rsidR="00522676" w:rsidRPr="00794FD2" w14:paraId="6FFCCD36"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auto"/>
            <w:vAlign w:val="center"/>
          </w:tcPr>
          <w:p w14:paraId="275C2552" w14:textId="0FAA2C1E"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18 mois</w:t>
            </w:r>
          </w:p>
        </w:tc>
        <w:tc>
          <w:tcPr>
            <w:tcW w:w="1785" w:type="dxa"/>
            <w:tcBorders>
              <w:top w:val="single" w:sz="4" w:space="0" w:color="000000"/>
              <w:left w:val="single" w:sz="4" w:space="0" w:color="000000"/>
              <w:bottom w:val="nil"/>
              <w:right w:val="nil"/>
            </w:tcBorders>
            <w:shd w:val="clear" w:color="auto" w:fill="auto"/>
          </w:tcPr>
          <w:p w14:paraId="1510838C"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ROR 2</w:t>
            </w:r>
          </w:p>
        </w:tc>
        <w:tc>
          <w:tcPr>
            <w:tcW w:w="5475" w:type="dxa"/>
            <w:tcBorders>
              <w:top w:val="single" w:sz="4" w:space="0" w:color="000000"/>
              <w:left w:val="nil"/>
              <w:bottom w:val="nil"/>
              <w:right w:val="nil"/>
            </w:tcBorders>
            <w:shd w:val="clear" w:color="auto" w:fill="FFFFFF"/>
          </w:tcPr>
          <w:p w14:paraId="359353A6"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Rougeole, oreillons, rubéole</w:t>
            </w:r>
          </w:p>
        </w:tc>
      </w:tr>
      <w:tr w:rsidR="00522676" w:rsidRPr="00794FD2" w14:paraId="185E38C1"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50597C83" w14:textId="77777777" w:rsidR="00522676" w:rsidRPr="00794FD2"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FFFFFF"/>
          </w:tcPr>
          <w:p w14:paraId="140A9D03"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DTC 4 – rappel 1</w:t>
            </w:r>
          </w:p>
        </w:tc>
        <w:tc>
          <w:tcPr>
            <w:tcW w:w="5475" w:type="dxa"/>
            <w:tcBorders>
              <w:top w:val="nil"/>
              <w:left w:val="nil"/>
              <w:bottom w:val="single" w:sz="4" w:space="0" w:color="000000"/>
              <w:right w:val="nil"/>
            </w:tcBorders>
            <w:shd w:val="clear" w:color="auto" w:fill="FFFFFF"/>
          </w:tcPr>
          <w:p w14:paraId="76363362"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Diphtérie, tétanos, coqueluche</w:t>
            </w:r>
          </w:p>
        </w:tc>
      </w:tr>
      <w:tr w:rsidR="00522676" w:rsidRPr="00794FD2" w14:paraId="2DAE1EAD"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bottom"/>
          </w:tcPr>
          <w:p w14:paraId="71B40B38"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6 ans</w:t>
            </w:r>
          </w:p>
        </w:tc>
        <w:tc>
          <w:tcPr>
            <w:tcW w:w="1785" w:type="dxa"/>
            <w:tcBorders>
              <w:top w:val="single" w:sz="4" w:space="0" w:color="000000"/>
              <w:left w:val="single" w:sz="4" w:space="0" w:color="000000"/>
              <w:bottom w:val="single" w:sz="4" w:space="0" w:color="000000"/>
              <w:right w:val="nil"/>
            </w:tcBorders>
            <w:shd w:val="clear" w:color="auto" w:fill="FFFFFF"/>
          </w:tcPr>
          <w:p w14:paraId="231F4BA5" w14:textId="5FBD0E28" w:rsidR="00522676" w:rsidRPr="00794FD2" w:rsidRDefault="00522676" w:rsidP="0099348F">
            <w:pPr>
              <w:spacing w:after="0" w:line="240" w:lineRule="auto"/>
              <w:rPr>
                <w:color w:val="000000"/>
                <w:sz w:val="21"/>
                <w:szCs w:val="21"/>
              </w:rPr>
            </w:pPr>
            <w:r w:rsidRPr="00794FD2">
              <w:rPr>
                <w:rFonts w:ascii="Calibri" w:hAnsi="Calibri"/>
                <w:color w:val="000000"/>
                <w:sz w:val="21"/>
                <w:szCs w:val="21"/>
              </w:rPr>
              <w:t xml:space="preserve">DTC/Td – rappel </w:t>
            </w:r>
          </w:p>
        </w:tc>
        <w:tc>
          <w:tcPr>
            <w:tcW w:w="5475" w:type="dxa"/>
            <w:tcBorders>
              <w:top w:val="single" w:sz="4" w:space="0" w:color="000000"/>
              <w:left w:val="nil"/>
              <w:bottom w:val="single" w:sz="4" w:space="0" w:color="000000"/>
              <w:right w:val="nil"/>
            </w:tcBorders>
            <w:shd w:val="clear" w:color="auto" w:fill="FFFFFF"/>
          </w:tcPr>
          <w:p w14:paraId="02A5CCCA"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Diphtérie, tétanos, coqueluche</w:t>
            </w:r>
          </w:p>
        </w:tc>
      </w:tr>
      <w:tr w:rsidR="00522676" w:rsidRPr="00794FD2" w14:paraId="42170C15"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center"/>
          </w:tcPr>
          <w:p w14:paraId="0BDB9CA8" w14:textId="7483F35D" w:rsidR="00522676" w:rsidRPr="00794FD2" w:rsidRDefault="00522676" w:rsidP="00540F46">
            <w:pPr>
              <w:spacing w:after="0" w:line="240" w:lineRule="auto"/>
              <w:rPr>
                <w:b/>
                <w:color w:val="000000"/>
                <w:sz w:val="21"/>
                <w:szCs w:val="21"/>
              </w:rPr>
            </w:pPr>
            <w:bookmarkStart w:id="1" w:name="_1fob9te"/>
            <w:bookmarkEnd w:id="1"/>
            <w:r w:rsidRPr="00794FD2">
              <w:rPr>
                <w:rFonts w:ascii="Calibri" w:hAnsi="Calibri"/>
                <w:b/>
                <w:color w:val="000000"/>
                <w:sz w:val="21"/>
                <w:szCs w:val="21"/>
              </w:rPr>
              <w:t>9–13 ans</w:t>
            </w:r>
            <w:r w:rsidRPr="00794FD2">
              <w:rPr>
                <w:rFonts w:ascii="Calibri" w:eastAsia="Calibri" w:hAnsi="Calibri" w:cs="Calibri"/>
                <w:color w:val="000000"/>
                <w:sz w:val="21"/>
                <w:szCs w:val="21"/>
                <w:vertAlign w:val="superscript"/>
              </w:rPr>
              <w:footnoteReference w:id="9"/>
            </w:r>
          </w:p>
        </w:tc>
        <w:tc>
          <w:tcPr>
            <w:tcW w:w="1785" w:type="dxa"/>
            <w:tcBorders>
              <w:top w:val="single" w:sz="4" w:space="0" w:color="000000"/>
              <w:left w:val="single" w:sz="4" w:space="0" w:color="000000"/>
              <w:bottom w:val="single" w:sz="4" w:space="0" w:color="000000"/>
              <w:right w:val="nil"/>
            </w:tcBorders>
            <w:shd w:val="clear" w:color="auto" w:fill="FFFFFF"/>
          </w:tcPr>
          <w:p w14:paraId="0315A04B"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HPV 1</w:t>
            </w:r>
          </w:p>
        </w:tc>
        <w:tc>
          <w:tcPr>
            <w:tcW w:w="5475" w:type="dxa"/>
            <w:tcBorders>
              <w:top w:val="single" w:sz="4" w:space="0" w:color="000000"/>
              <w:left w:val="nil"/>
              <w:bottom w:val="single" w:sz="4" w:space="0" w:color="000000"/>
              <w:right w:val="nil"/>
            </w:tcBorders>
            <w:shd w:val="clear" w:color="auto" w:fill="FFFFFF"/>
          </w:tcPr>
          <w:p w14:paraId="6FB306C1" w14:textId="72D5097E" w:rsidR="00522676" w:rsidRPr="00794FD2" w:rsidRDefault="00E941FE" w:rsidP="0079028A">
            <w:pPr>
              <w:spacing w:after="0" w:line="240" w:lineRule="auto"/>
              <w:rPr>
                <w:color w:val="000000"/>
                <w:sz w:val="21"/>
                <w:szCs w:val="21"/>
              </w:rPr>
            </w:pPr>
            <w:r w:rsidRPr="00794FD2">
              <w:rPr>
                <w:rFonts w:ascii="Calibri" w:hAnsi="Calibri"/>
                <w:color w:val="000000"/>
                <w:sz w:val="21"/>
                <w:szCs w:val="21"/>
              </w:rPr>
              <w:t>Cancer du col de l’utérus</w:t>
            </w:r>
          </w:p>
        </w:tc>
      </w:tr>
      <w:tr w:rsidR="00522676" w:rsidRPr="00794FD2" w14:paraId="748BB7F7" w14:textId="77777777" w:rsidTr="0079028A">
        <w:trPr>
          <w:trHeight w:val="600"/>
        </w:trPr>
        <w:tc>
          <w:tcPr>
            <w:tcW w:w="2345" w:type="dxa"/>
            <w:tcBorders>
              <w:top w:val="single" w:sz="4" w:space="0" w:color="000000"/>
              <w:left w:val="nil"/>
              <w:bottom w:val="single" w:sz="4" w:space="0" w:color="000000"/>
              <w:right w:val="single" w:sz="4" w:space="0" w:color="000000"/>
            </w:tcBorders>
            <w:shd w:val="clear" w:color="auto" w:fill="auto"/>
            <w:vAlign w:val="center"/>
          </w:tcPr>
          <w:p w14:paraId="093756AD" w14:textId="71DA155D" w:rsidR="00522676" w:rsidRPr="00794FD2" w:rsidRDefault="0099348F" w:rsidP="0079028A">
            <w:pPr>
              <w:spacing w:after="0" w:line="240" w:lineRule="auto"/>
              <w:rPr>
                <w:color w:val="000000"/>
                <w:sz w:val="21"/>
                <w:szCs w:val="21"/>
              </w:rPr>
            </w:pPr>
            <w:r w:rsidRPr="00794FD2">
              <w:rPr>
                <w:rFonts w:ascii="Calibri" w:hAnsi="Calibri"/>
                <w:color w:val="000000"/>
                <w:sz w:val="21"/>
                <w:szCs w:val="21"/>
              </w:rPr>
              <w:t>Intervalle de 6 à 15 mois après le HPV 1</w:t>
            </w:r>
            <w:r w:rsidRPr="00794FD2">
              <w:rPr>
                <w:rFonts w:ascii="Calibri" w:hAnsi="Calibri"/>
                <w:color w:val="000000"/>
                <w:sz w:val="21"/>
                <w:szCs w:val="21"/>
                <w:vertAlign w:val="superscript"/>
              </w:rPr>
              <w:t>2</w:t>
            </w:r>
          </w:p>
        </w:tc>
        <w:tc>
          <w:tcPr>
            <w:tcW w:w="1785" w:type="dxa"/>
            <w:tcBorders>
              <w:top w:val="single" w:sz="4" w:space="0" w:color="000000"/>
              <w:left w:val="single" w:sz="4" w:space="0" w:color="000000"/>
              <w:bottom w:val="single" w:sz="4" w:space="0" w:color="000000"/>
              <w:right w:val="nil"/>
            </w:tcBorders>
            <w:shd w:val="clear" w:color="auto" w:fill="FFFFFF"/>
          </w:tcPr>
          <w:p w14:paraId="2B04E48B"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 xml:space="preserve">HPV 2 </w:t>
            </w:r>
          </w:p>
        </w:tc>
        <w:tc>
          <w:tcPr>
            <w:tcW w:w="5475" w:type="dxa"/>
            <w:tcBorders>
              <w:top w:val="single" w:sz="4" w:space="0" w:color="000000"/>
              <w:left w:val="nil"/>
              <w:bottom w:val="single" w:sz="4" w:space="0" w:color="000000"/>
              <w:right w:val="nil"/>
            </w:tcBorders>
            <w:shd w:val="clear" w:color="auto" w:fill="FFFFFF"/>
          </w:tcPr>
          <w:p w14:paraId="75C07D16" w14:textId="567294E2" w:rsidR="00522676" w:rsidRPr="00794FD2" w:rsidRDefault="00E941FE" w:rsidP="0079028A">
            <w:pPr>
              <w:spacing w:after="0" w:line="240" w:lineRule="auto"/>
              <w:rPr>
                <w:color w:val="000000"/>
                <w:sz w:val="21"/>
                <w:szCs w:val="21"/>
              </w:rPr>
            </w:pPr>
            <w:r w:rsidRPr="00794FD2">
              <w:rPr>
                <w:rFonts w:ascii="Calibri" w:hAnsi="Calibri"/>
                <w:color w:val="000000"/>
                <w:sz w:val="21"/>
                <w:szCs w:val="21"/>
              </w:rPr>
              <w:t>Cancer du col de l’utérus</w:t>
            </w:r>
          </w:p>
        </w:tc>
      </w:tr>
      <w:tr w:rsidR="00522676" w:rsidRPr="00794FD2" w14:paraId="4F0FE510"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bottom"/>
          </w:tcPr>
          <w:p w14:paraId="2F1D6C0D" w14:textId="77777777" w:rsidR="00522676" w:rsidRPr="00794FD2" w:rsidRDefault="00522676" w:rsidP="0079028A">
            <w:pPr>
              <w:spacing w:after="0" w:line="240" w:lineRule="auto"/>
              <w:rPr>
                <w:b/>
                <w:color w:val="000000"/>
                <w:sz w:val="21"/>
                <w:szCs w:val="21"/>
              </w:rPr>
            </w:pPr>
            <w:r w:rsidRPr="00794FD2">
              <w:rPr>
                <w:rFonts w:ascii="Calibri" w:hAnsi="Calibri"/>
                <w:b/>
                <w:color w:val="000000"/>
                <w:sz w:val="21"/>
                <w:szCs w:val="21"/>
              </w:rPr>
              <w:t>13 ans</w:t>
            </w:r>
          </w:p>
        </w:tc>
        <w:tc>
          <w:tcPr>
            <w:tcW w:w="1785" w:type="dxa"/>
            <w:tcBorders>
              <w:top w:val="single" w:sz="4" w:space="0" w:color="000000"/>
              <w:left w:val="single" w:sz="4" w:space="0" w:color="000000"/>
              <w:bottom w:val="single" w:sz="4" w:space="0" w:color="000000"/>
              <w:right w:val="nil"/>
            </w:tcBorders>
            <w:shd w:val="clear" w:color="auto" w:fill="FFFFFF"/>
          </w:tcPr>
          <w:p w14:paraId="16C7092A"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Td – rappel</w:t>
            </w:r>
          </w:p>
        </w:tc>
        <w:tc>
          <w:tcPr>
            <w:tcW w:w="5475" w:type="dxa"/>
            <w:tcBorders>
              <w:top w:val="single" w:sz="4" w:space="0" w:color="000000"/>
              <w:left w:val="nil"/>
              <w:bottom w:val="single" w:sz="4" w:space="0" w:color="000000"/>
              <w:right w:val="nil"/>
            </w:tcBorders>
            <w:shd w:val="clear" w:color="auto" w:fill="FFFFFF"/>
          </w:tcPr>
          <w:p w14:paraId="6CB74CF3" w14:textId="77777777" w:rsidR="00522676" w:rsidRPr="00794FD2" w:rsidRDefault="00522676" w:rsidP="0079028A">
            <w:pPr>
              <w:spacing w:after="0" w:line="240" w:lineRule="auto"/>
              <w:rPr>
                <w:color w:val="000000"/>
                <w:sz w:val="21"/>
                <w:szCs w:val="21"/>
              </w:rPr>
            </w:pPr>
            <w:r w:rsidRPr="00794FD2">
              <w:rPr>
                <w:rFonts w:ascii="Calibri" w:hAnsi="Calibri"/>
                <w:color w:val="000000"/>
                <w:sz w:val="21"/>
                <w:szCs w:val="21"/>
              </w:rPr>
              <w:t>Tétanos, diphtérie</w:t>
            </w:r>
          </w:p>
        </w:tc>
      </w:tr>
    </w:tbl>
    <w:p w14:paraId="2FD3681C" w14:textId="77777777" w:rsidR="00522676" w:rsidRPr="00794FD2" w:rsidRDefault="00522676" w:rsidP="00522676">
      <w:pPr>
        <w:spacing w:after="0" w:line="240" w:lineRule="auto"/>
        <w:jc w:val="both"/>
        <w:rPr>
          <w:b/>
        </w:rPr>
        <w:sectPr w:rsidR="00522676" w:rsidRPr="00794FD2" w:rsidSect="00381E7C">
          <w:headerReference w:type="even" r:id="rId15"/>
          <w:headerReference w:type="default" r:id="rId16"/>
          <w:footerReference w:type="even" r:id="rId17"/>
          <w:footerReference w:type="default" r:id="rId18"/>
          <w:headerReference w:type="first" r:id="rId19"/>
          <w:footerReference w:type="first" r:id="rId20"/>
          <w:pgSz w:w="11907" w:h="16839"/>
          <w:pgMar w:top="720" w:right="1440" w:bottom="1260" w:left="1440" w:header="720" w:footer="720" w:gutter="0"/>
          <w:pgNumType w:start="1"/>
          <w:cols w:space="720" w:equalWidth="0">
            <w:col w:w="9360"/>
          </w:cols>
          <w:titlePg/>
          <w:docGrid w:linePitch="299"/>
        </w:sectPr>
      </w:pPr>
    </w:p>
    <w:p w14:paraId="5C4DD715" w14:textId="77777777" w:rsidR="00522676" w:rsidRPr="00794FD2" w:rsidRDefault="00522676" w:rsidP="00522676">
      <w:pPr>
        <w:spacing w:after="0" w:line="240" w:lineRule="auto"/>
        <w:jc w:val="both"/>
        <w:rPr>
          <w:b/>
        </w:rPr>
        <w:sectPr w:rsidR="00522676" w:rsidRPr="00794FD2" w:rsidSect="0079028A">
          <w:type w:val="continuous"/>
          <w:pgSz w:w="11907" w:h="16839"/>
          <w:pgMar w:top="720" w:right="1440" w:bottom="1440" w:left="1440" w:header="720" w:footer="720" w:gutter="0"/>
          <w:pgNumType w:start="1"/>
          <w:cols w:space="720" w:equalWidth="0">
            <w:col w:w="9360"/>
          </w:cols>
          <w:titlePg/>
        </w:sectPr>
      </w:pPr>
    </w:p>
    <w:p w14:paraId="31412376" w14:textId="6AD98320" w:rsidR="006E7809" w:rsidRPr="00794FD2" w:rsidRDefault="00E23882" w:rsidP="00F02120">
      <w:pPr>
        <w:spacing w:after="0" w:line="360" w:lineRule="auto"/>
        <w:ind w:left="-567"/>
        <w:jc w:val="both"/>
        <w:rPr>
          <w:rFonts w:cstheme="minorHAnsi"/>
          <w:b/>
          <w:sz w:val="28"/>
        </w:rPr>
      </w:pPr>
      <w:r w:rsidRPr="00794FD2">
        <w:rPr>
          <w:b/>
          <w:sz w:val="24"/>
        </w:rPr>
        <w:lastRenderedPageBreak/>
        <w:t>Appendice 2 : Données administratives sur la couverture vaccinale en Océanie pour l’année 2018, tirées du processus conjoint de déclaration OMS/UNICEF</w:t>
      </w:r>
      <w:r w:rsidRPr="00794FD2">
        <w:rPr>
          <w:b/>
          <w:sz w:val="28"/>
        </w:rPr>
        <w:t xml:space="preserve"> </w:t>
      </w:r>
    </w:p>
    <w:p w14:paraId="2AFA2FC0" w14:textId="3E47BB54" w:rsidR="006E7809" w:rsidRPr="00794FD2" w:rsidRDefault="001E57A3" w:rsidP="00681939">
      <w:pPr>
        <w:spacing w:after="0" w:line="360" w:lineRule="auto"/>
        <w:ind w:left="-567"/>
        <w:jc w:val="center"/>
        <w:rPr>
          <w:rFonts w:cstheme="minorHAnsi"/>
          <w:b/>
          <w:sz w:val="24"/>
        </w:rPr>
      </w:pPr>
      <w:r>
        <w:rPr>
          <w:noProof/>
          <w:lang w:val="en-US" w:eastAsia="en-US"/>
        </w:rPr>
        <w:drawing>
          <wp:inline distT="0" distB="0" distL="0" distR="0" wp14:anchorId="60EA5D68" wp14:editId="0093E567">
            <wp:extent cx="9321165" cy="44805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321165" cy="4480560"/>
                    </a:xfrm>
                    <a:prstGeom prst="rect">
                      <a:avLst/>
                    </a:prstGeom>
                  </pic:spPr>
                </pic:pic>
              </a:graphicData>
            </a:graphic>
          </wp:inline>
        </w:drawing>
      </w:r>
    </w:p>
    <w:p w14:paraId="5B068FF9" w14:textId="77777777" w:rsidR="006E7809" w:rsidRPr="00794FD2" w:rsidRDefault="006E7809" w:rsidP="00CD5306">
      <w:pPr>
        <w:spacing w:after="0" w:line="360" w:lineRule="auto"/>
        <w:ind w:left="-567"/>
        <w:jc w:val="center"/>
        <w:rPr>
          <w:rFonts w:cstheme="minorHAnsi"/>
          <w:b/>
          <w:sz w:val="24"/>
        </w:rPr>
      </w:pPr>
      <w:r w:rsidRPr="00794FD2">
        <w:br w:type="page"/>
      </w:r>
    </w:p>
    <w:p w14:paraId="25CE1847" w14:textId="35CA0A4F" w:rsidR="00BE1590" w:rsidRPr="00794FD2" w:rsidRDefault="00E23882" w:rsidP="00A82880">
      <w:pPr>
        <w:spacing w:after="0" w:line="240" w:lineRule="auto"/>
        <w:ind w:left="-567"/>
        <w:jc w:val="both"/>
        <w:rPr>
          <w:b/>
        </w:rPr>
      </w:pPr>
      <w:r w:rsidRPr="00794FD2">
        <w:rPr>
          <w:b/>
        </w:rPr>
        <w:lastRenderedPageBreak/>
        <w:t>Appendice 3 :</w:t>
      </w:r>
      <w:r w:rsidR="008048B6">
        <w:rPr>
          <w:b/>
        </w:rPr>
        <w:t xml:space="preserve"> </w:t>
      </w:r>
      <w:r w:rsidRPr="00794FD2">
        <w:rPr>
          <w:b/>
        </w:rPr>
        <w:t>Cadre de résultats pour le renforcement des programmes de vaccination en Océanie, 2020–2030, avec un calendrier harmonisé de vaccination des enfants et des adolescents dans la région</w:t>
      </w:r>
    </w:p>
    <w:tbl>
      <w:tblPr>
        <w:tblStyle w:val="LightGrid-Accent1"/>
        <w:tblpPr w:leftFromText="180" w:rightFromText="180" w:vertAnchor="page" w:horzAnchor="margin" w:tblpXSpec="center" w:tblpY="2341"/>
        <w:tblW w:w="15221" w:type="dxa"/>
        <w:tblLook w:val="04A0" w:firstRow="1" w:lastRow="0" w:firstColumn="1" w:lastColumn="0" w:noHBand="0" w:noVBand="1"/>
      </w:tblPr>
      <w:tblGrid>
        <w:gridCol w:w="1420"/>
        <w:gridCol w:w="2597"/>
        <w:gridCol w:w="2597"/>
        <w:gridCol w:w="3005"/>
        <w:gridCol w:w="3005"/>
        <w:gridCol w:w="2597"/>
      </w:tblGrid>
      <w:tr w:rsidR="00292686" w:rsidRPr="00794FD2" w14:paraId="3BC8C6CB" w14:textId="77777777" w:rsidTr="00444B31">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1420" w:type="dxa"/>
            <w:tcBorders>
              <w:top w:val="single" w:sz="18" w:space="0" w:color="4F81BD" w:themeColor="accent1"/>
            </w:tcBorders>
            <w:shd w:val="clear" w:color="auto" w:fill="FFFFFF" w:themeFill="background1"/>
          </w:tcPr>
          <w:p w14:paraId="6E8626F2" w14:textId="77777777" w:rsidR="00F02120" w:rsidRPr="00794FD2" w:rsidRDefault="00F02120" w:rsidP="00D05CD6">
            <w:pPr>
              <w:jc w:val="center"/>
              <w:rPr>
                <w:rFonts w:ascii="Segoe Condensed" w:hAnsi="Segoe Condensed"/>
                <w:b w:val="0"/>
                <w:bCs w:val="0"/>
                <w:i/>
                <w:iCs/>
                <w:color w:val="000000" w:themeColor="text1"/>
                <w:sz w:val="21"/>
                <w:szCs w:val="21"/>
              </w:rPr>
            </w:pPr>
            <w:r w:rsidRPr="00794FD2">
              <w:rPr>
                <w:rFonts w:ascii="Segoe Condensed" w:hAnsi="Segoe Condensed"/>
                <w:color w:val="000000" w:themeColor="text1"/>
                <w:sz w:val="21"/>
                <w:szCs w:val="21"/>
              </w:rPr>
              <w:t>ÉLÉMENTS DU PLAN D’ACTION MONDIAL POUR LES VACCINS</w:t>
            </w:r>
          </w:p>
        </w:tc>
        <w:tc>
          <w:tcPr>
            <w:tcW w:w="2597" w:type="dxa"/>
            <w:tcBorders>
              <w:top w:val="single" w:sz="18" w:space="0" w:color="4F81BD" w:themeColor="accent1"/>
            </w:tcBorders>
            <w:shd w:val="clear" w:color="auto" w:fill="FFFFFF" w:themeFill="background1"/>
          </w:tcPr>
          <w:p w14:paraId="2B90F2DF" w14:textId="40CD4C7C" w:rsidR="00F02120" w:rsidRPr="00794FD2"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794FD2">
              <w:rPr>
                <w:rFonts w:ascii="Segoe Condensed" w:hAnsi="Segoe Condensed"/>
                <w:color w:val="000000" w:themeColor="text1"/>
                <w:sz w:val="21"/>
                <w:szCs w:val="21"/>
              </w:rPr>
              <w:t>Tous les pays s’engagent à faire de la vaccination une priorité.</w:t>
            </w:r>
          </w:p>
        </w:tc>
        <w:tc>
          <w:tcPr>
            <w:tcW w:w="2597" w:type="dxa"/>
            <w:tcBorders>
              <w:top w:val="single" w:sz="18" w:space="0" w:color="4F81BD" w:themeColor="accent1"/>
            </w:tcBorders>
            <w:shd w:val="clear" w:color="auto" w:fill="FFFFFF" w:themeFill="background1"/>
          </w:tcPr>
          <w:p w14:paraId="72C2307F" w14:textId="1EFC1AFF" w:rsidR="00F02120" w:rsidRPr="00794FD2"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794FD2">
              <w:rPr>
                <w:rFonts w:ascii="Segoe Condensed" w:hAnsi="Segoe Condensed"/>
                <w:color w:val="000000" w:themeColor="text1"/>
                <w:sz w:val="21"/>
                <w:szCs w:val="21"/>
              </w:rPr>
              <w:t>Les individus et les communautés comprennent la valeur des vaccins et exigent les vaccinations à la fois comme un droit et comme une responsabilité.</w:t>
            </w:r>
          </w:p>
        </w:tc>
        <w:tc>
          <w:tcPr>
            <w:tcW w:w="3005" w:type="dxa"/>
            <w:tcBorders>
              <w:top w:val="single" w:sz="18" w:space="0" w:color="4F81BD" w:themeColor="accent1"/>
            </w:tcBorders>
            <w:shd w:val="clear" w:color="auto" w:fill="FFFFFF" w:themeFill="background1"/>
          </w:tcPr>
          <w:p w14:paraId="1ECB7006" w14:textId="48A47C55" w:rsidR="00F02120" w:rsidRPr="00794FD2"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794FD2">
              <w:rPr>
                <w:rFonts w:ascii="Segoe Condensed" w:hAnsi="Segoe Condensed"/>
                <w:color w:val="000000" w:themeColor="text1"/>
                <w:sz w:val="21"/>
                <w:szCs w:val="21"/>
              </w:rPr>
              <w:t xml:space="preserve">Les avantages de la vaccination s’appliquent à tous de manière équitable. </w:t>
            </w:r>
          </w:p>
        </w:tc>
        <w:tc>
          <w:tcPr>
            <w:tcW w:w="3005" w:type="dxa"/>
            <w:tcBorders>
              <w:top w:val="single" w:sz="18" w:space="0" w:color="4F81BD" w:themeColor="accent1"/>
            </w:tcBorders>
            <w:shd w:val="clear" w:color="auto" w:fill="FFFFFF" w:themeFill="background1"/>
          </w:tcPr>
          <w:p w14:paraId="7D9561A1" w14:textId="69429E98" w:rsidR="00F02120" w:rsidRPr="00794FD2"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794FD2">
              <w:rPr>
                <w:rFonts w:ascii="Segoe Condensed" w:hAnsi="Segoe Condensed"/>
                <w:color w:val="000000" w:themeColor="text1"/>
                <w:sz w:val="21"/>
                <w:szCs w:val="21"/>
              </w:rPr>
              <w:t>Les systèmes de vaccination performants font partie intégrante d’un système de santé efficace.</w:t>
            </w:r>
          </w:p>
        </w:tc>
        <w:tc>
          <w:tcPr>
            <w:tcW w:w="2597" w:type="dxa"/>
            <w:tcBorders>
              <w:top w:val="single" w:sz="18" w:space="0" w:color="4F81BD" w:themeColor="accent1"/>
            </w:tcBorders>
            <w:shd w:val="clear" w:color="auto" w:fill="FFFFFF" w:themeFill="background1"/>
          </w:tcPr>
          <w:p w14:paraId="66CF5A51" w14:textId="7B6F675A" w:rsidR="00F02120" w:rsidRPr="00794FD2" w:rsidRDefault="0066050D"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794FD2">
              <w:rPr>
                <w:rFonts w:ascii="Segoe Condensed" w:hAnsi="Segoe Condensed"/>
                <w:color w:val="000000" w:themeColor="text1"/>
                <w:sz w:val="21"/>
                <w:szCs w:val="21"/>
              </w:rPr>
              <w:t>Les programmes de vaccination bénéficient de manière durable d’un financement prévisible, d’un approvisionnement de qualité et de technologies de pointe.</w:t>
            </w:r>
          </w:p>
        </w:tc>
      </w:tr>
      <w:tr w:rsidR="00890BDD" w:rsidRPr="00794FD2" w14:paraId="61B5D0A6" w14:textId="77777777" w:rsidTr="00444B31">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07F2CC5" w14:textId="77777777" w:rsidR="00F02120" w:rsidRPr="00794FD2" w:rsidRDefault="00F02120" w:rsidP="00D05CD6">
            <w:pPr>
              <w:jc w:val="center"/>
              <w:rPr>
                <w:rFonts w:ascii="Segoe Condensed" w:hAnsi="Segoe Condensed"/>
                <w:color w:val="000000" w:themeColor="text1"/>
                <w:sz w:val="21"/>
                <w:szCs w:val="21"/>
              </w:rPr>
            </w:pPr>
          </w:p>
          <w:p w14:paraId="49E53EEF" w14:textId="77777777" w:rsidR="00F02120" w:rsidRPr="00794FD2" w:rsidRDefault="00F02120" w:rsidP="00D05CD6">
            <w:pPr>
              <w:jc w:val="center"/>
              <w:rPr>
                <w:rFonts w:ascii="Segoe Condensed" w:hAnsi="Segoe Condensed"/>
                <w:b w:val="0"/>
                <w:i/>
                <w:iCs/>
                <w:color w:val="000000" w:themeColor="text1"/>
                <w:sz w:val="21"/>
                <w:szCs w:val="21"/>
              </w:rPr>
            </w:pPr>
            <w:r w:rsidRPr="00794FD2">
              <w:rPr>
                <w:rFonts w:ascii="Segoe Condensed" w:hAnsi="Segoe Condensed"/>
                <w:color w:val="000000" w:themeColor="text1"/>
                <w:sz w:val="21"/>
                <w:szCs w:val="21"/>
              </w:rPr>
              <w:t>ACTIVITÉS</w:t>
            </w:r>
          </w:p>
        </w:tc>
        <w:tc>
          <w:tcPr>
            <w:tcW w:w="2597" w:type="dxa"/>
          </w:tcPr>
          <w:p w14:paraId="7AAC2798" w14:textId="3DF66D7B" w:rsidR="00F02120" w:rsidRPr="00794FD2"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Réaffirmer l’engagement à investir dans les programmes nationaux de vaccination et à augmenter les financements si nécessaire, afin d’atteindre, voire de dépasser, les objectifs du programme de vaccination au titre du Plan d’action mondial pour les vaccins à l’horizon 2025 et ceux de la Région du Pacifique occidental à l’horizon 2030.</w:t>
            </w:r>
          </w:p>
          <w:p w14:paraId="3977EB14" w14:textId="31D2E1D3" w:rsidR="00F02120" w:rsidRPr="00794FD2"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S’engager à harmoniser le calendrier de vaccination des enfants et des adolescents en Océanie à l’horizon 2030. </w:t>
            </w:r>
          </w:p>
          <w:p w14:paraId="488237A8" w14:textId="022E39D7" w:rsidR="00F02120" w:rsidRPr="00794FD2"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Élaborer ou mettre à jour des plans et des jalons de vaccination à l’échelle nationale dans tous les pays océaniens en vue de l’activité 1.1.</w:t>
            </w:r>
          </w:p>
          <w:p w14:paraId="469DF642" w14:textId="758B68D7" w:rsidR="00F02120" w:rsidRPr="00794FD2"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S’engager à participer chaque année au processus </w:t>
            </w:r>
            <w:r w:rsidRPr="00794FD2">
              <w:rPr>
                <w:rFonts w:ascii="Segoe Condensed" w:hAnsi="Segoe Condensed"/>
                <w:color w:val="000000" w:themeColor="text1"/>
                <w:sz w:val="21"/>
                <w:szCs w:val="21"/>
              </w:rPr>
              <w:lastRenderedPageBreak/>
              <w:t>conjoint de déclaration OMS/UNICEF dans les délais impartis.</w:t>
            </w:r>
            <w:r w:rsidR="008048B6">
              <w:rPr>
                <w:rFonts w:ascii="Segoe Condensed" w:hAnsi="Segoe Condensed"/>
                <w:color w:val="000000" w:themeColor="text1"/>
                <w:sz w:val="21"/>
                <w:szCs w:val="21"/>
              </w:rPr>
              <w:t xml:space="preserve"> </w:t>
            </w:r>
          </w:p>
          <w:p w14:paraId="34FD0DBB" w14:textId="426DACF2" w:rsidR="00F02120" w:rsidRPr="00794FD2"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Faire de la vaccination un point récurrent de l’ordre du jour de toutes les réunions des organes directeurs océaniens ayant pour thème l’éradication des maladies à prévention vaccinale aux échelons régional et mondial ainsi qu’à contrôler les objectifs.</w:t>
            </w:r>
          </w:p>
        </w:tc>
        <w:tc>
          <w:tcPr>
            <w:tcW w:w="2597" w:type="dxa"/>
          </w:tcPr>
          <w:p w14:paraId="6B048AE9" w14:textId="77777777" w:rsidR="00F02120" w:rsidRPr="00794FD2"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lastRenderedPageBreak/>
              <w:t>Mettre en place des mécanismes de suivi et une collecte des données concernant la réticence face à la vaccination, afin de comprendre la nature et l’ampleur de ce problème en Océanie.</w:t>
            </w:r>
          </w:p>
          <w:p w14:paraId="2851ED87" w14:textId="77777777" w:rsidR="00F02120" w:rsidRPr="00794FD2"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Mettre au point des stratégies et des ressources de communication pour les professionnels de santé adaptés à l’attitude des parents (disposés, réticents ou réfractaires à la vaccination) afin de répondre à leurs inquiétudes et de lutter contre la réticence face à la vaccination.</w:t>
            </w:r>
          </w:p>
          <w:p w14:paraId="6A1228A3" w14:textId="77777777" w:rsidR="00F02120" w:rsidRPr="00794FD2"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 xml:space="preserve">Former les professionnels de santé aux techniques de communication afin d’améliorer les services fournis, de lutter contre la réticence face à la vaccination et de réagir aux </w:t>
            </w:r>
            <w:r w:rsidRPr="00794FD2">
              <w:rPr>
                <w:rFonts w:ascii="Segoe Condensed" w:hAnsi="Segoe Condensed"/>
                <w:color w:val="000000" w:themeColor="text1"/>
                <w:sz w:val="21"/>
                <w:szCs w:val="21"/>
              </w:rPr>
              <w:lastRenderedPageBreak/>
              <w:t xml:space="preserve">signalements de MAPI (cf. 4.3). </w:t>
            </w:r>
          </w:p>
          <w:p w14:paraId="55ADD1D3" w14:textId="77777777" w:rsidR="00F02120" w:rsidRPr="00794FD2"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Mettre en place des mécanismes internes pour assurer une communication rapide et transparente en cas de MAPI, afin de dissiper les craintes et de nouer des liens de confiance à la suite de tels événements.</w:t>
            </w:r>
          </w:p>
          <w:p w14:paraId="085778FA" w14:textId="709E0601" w:rsidR="00F02120" w:rsidRPr="00794FD2"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Faire participer activement les responsables communautaires et les leaders d’opinion à la promotion de la vaccination (cf. 3.3).</w:t>
            </w:r>
            <w:r w:rsidR="008048B6">
              <w:rPr>
                <w:rFonts w:ascii="Segoe Condensed" w:hAnsi="Segoe Condensed"/>
                <w:color w:val="000000" w:themeColor="text1"/>
                <w:sz w:val="21"/>
                <w:szCs w:val="21"/>
              </w:rPr>
              <w:t xml:space="preserve"> </w:t>
            </w:r>
          </w:p>
        </w:tc>
        <w:tc>
          <w:tcPr>
            <w:tcW w:w="3005" w:type="dxa"/>
          </w:tcPr>
          <w:p w14:paraId="1EC8C2D3" w14:textId="3902F9D3" w:rsidR="00F02120" w:rsidRPr="00794FD2"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lastRenderedPageBreak/>
              <w:t>Remédier aux lacunes en matière d’immunité causées par une faible couverture vaccinale aux échelons national et local/insulaire en faisant participer les populations de ces zones à faible couverture et en luttant contre les obstacles à la réalisation des objectifs de vaccination.</w:t>
            </w:r>
          </w:p>
          <w:p w14:paraId="16E6CE61" w14:textId="77777777" w:rsidR="00F02120" w:rsidRPr="00794FD2"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En coopération avec l’OMS, l’UNICEF et les autres partenaires, réaliser des études de besoins et de faisabilité en vue de l’introduction de nouveaux vaccins, ainsi que de la mise au point et de l’établissement des coûts de plans complets de mise en œuvre.</w:t>
            </w:r>
          </w:p>
          <w:p w14:paraId="2F881BC8" w14:textId="777A58C1" w:rsidR="00F02120" w:rsidRPr="00794FD2"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Renforcer l’intégration de la vaccination à d’autres services de proximité et de soins de santé primaires afin de lutter contre les problèmes d’accessibilité, notamment en faisant participer les organisations de la société </w:t>
            </w:r>
            <w:r w:rsidRPr="00794FD2">
              <w:rPr>
                <w:rFonts w:ascii="Segoe Condensed" w:hAnsi="Segoe Condensed"/>
                <w:color w:val="000000" w:themeColor="text1"/>
                <w:sz w:val="21"/>
                <w:szCs w:val="21"/>
              </w:rPr>
              <w:lastRenderedPageBreak/>
              <w:t>civile à la planification et à la réalisation des vaccinations (action en milieu communautaire).</w:t>
            </w:r>
          </w:p>
          <w:p w14:paraId="139E9882" w14:textId="2BABE691" w:rsidR="00F02120" w:rsidRPr="00794FD2"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Renforcer les mesures destinées à garantir la vaccination des enfants et des adolescents déplacés, notamment en développant ou en renforçant des accords de partage de données sur la vaccination entre les pays océaniens, afin d’assurer une vaccination dans les délais impartis et d’identifier et gérer rapidement les individus non ou insuffisamment immunisés, dans un souci de prévention et de contrôle des épidémies de maladies à prévention vaccinale (cf. 1.2 et 4.5).</w:t>
            </w:r>
          </w:p>
          <w:p w14:paraId="464D6654" w14:textId="77777777" w:rsidR="00F02120" w:rsidRPr="00794FD2"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Veiller à la vaccination opportuniste des enfants et adolescents insuffisamment immunisés afin de combler les lacunes en matière d’immunité (autrement dit, procéder immédiatement au rattrapage des vaccins des personnes insuffisamment immunisées consultant un professionnel de santé pour une maladie non fébrile).</w:t>
            </w:r>
          </w:p>
        </w:tc>
        <w:tc>
          <w:tcPr>
            <w:tcW w:w="3005" w:type="dxa"/>
          </w:tcPr>
          <w:p w14:paraId="225B79B6" w14:textId="610CE60F" w:rsidR="00F02120" w:rsidRPr="00794FD2"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lastRenderedPageBreak/>
              <w:t>Renforcer les systèmes nationaux de surveillance des programmes de vaccination pour en garantir la qualité et la sécurité.</w:t>
            </w:r>
          </w:p>
          <w:p w14:paraId="2A5902C0" w14:textId="77777777" w:rsidR="00F02120" w:rsidRPr="00794FD2"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Renforcer les capacités de détection, d’analyse et de réponse rapide face aux cas isolés et aux épidémies de maladies à prévention vaccinale.</w:t>
            </w:r>
          </w:p>
          <w:p w14:paraId="33CB4C1A" w14:textId="77777777" w:rsidR="00F02120" w:rsidRPr="00794FD2"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Mettre en place des systèmes de pharmacovigilance pour les vaccins et en surveiller l’application (cf. 2.3 et 2.4).</w:t>
            </w:r>
          </w:p>
          <w:p w14:paraId="19335ECF" w14:textId="49D47E8E" w:rsidR="00F02120" w:rsidRPr="00794FD2"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Continuer à renforcer les capacités du personnel de vaccination à assurer les activités de planification, d’exécution, de suivi et de rapport concernant la mise en œuvre, la qualité et la sécurité des programmes de vaccination aux échelons national et infranational.</w:t>
            </w:r>
          </w:p>
          <w:p w14:paraId="62C8EB1C" w14:textId="62E9EAE5" w:rsidR="00F02120" w:rsidRPr="00794FD2"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 xml:space="preserve">Intégrer les dossiers et registres de vaccination infantile aux dossiers médicaux électroniques existants, ou veiller à la mise en lien des registres de vaccination </w:t>
            </w:r>
            <w:r w:rsidRPr="00794FD2">
              <w:rPr>
                <w:rFonts w:ascii="Segoe Condensed" w:hAnsi="Segoe Condensed"/>
                <w:color w:val="000000" w:themeColor="text1"/>
                <w:sz w:val="21"/>
                <w:szCs w:val="21"/>
              </w:rPr>
              <w:lastRenderedPageBreak/>
              <w:t>indépendants avec ces derniers (cf. 3.4 et 3.5).</w:t>
            </w:r>
          </w:p>
          <w:p w14:paraId="50F08F0D" w14:textId="65C876DC" w:rsidR="00F02120" w:rsidRPr="00794FD2"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Renforcer la coordination entre les gestionnaires de programmes de vaccination et les programmes de surveillance et de lutte contre les maladies transmissibles, et notamment le partage des données et des informations sur les maladies à prévention vaccinale et la couverture par les vaccins, par exemple par l’intermédiaire du ROSSP.</w:t>
            </w:r>
          </w:p>
        </w:tc>
        <w:tc>
          <w:tcPr>
            <w:tcW w:w="2597" w:type="dxa"/>
          </w:tcPr>
          <w:p w14:paraId="37ACC58F" w14:textId="77777777" w:rsidR="00F02120" w:rsidRPr="00794FD2" w:rsidRDefault="00F02120" w:rsidP="006E4FCB">
            <w:pPr>
              <w:pStyle w:val="ListParagraph"/>
              <w:numPr>
                <w:ilvl w:val="0"/>
                <w:numId w:val="8"/>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lastRenderedPageBreak/>
              <w:t>Si nécessaire, diversifier les sources de financements et participer à l’acquisition groupée des vaccins, notamment dans le cadre de l’initiative pour l’autonomie en matière de vaccins de l’UNICEF.</w:t>
            </w:r>
          </w:p>
          <w:p w14:paraId="7A23BEA3" w14:textId="5684B1EF" w:rsidR="00F02120" w:rsidRPr="00794FD2" w:rsidRDefault="00F02120" w:rsidP="006E4FCB">
            <w:pPr>
              <w:pStyle w:val="ListParagraph"/>
              <w:numPr>
                <w:ilvl w:val="0"/>
                <w:numId w:val="8"/>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Avec des partenaires techniques régionaux, œuvrer au renforcement des systèmes d’information et de gestion de la chaîne logistique ainsi que des processus d’approvisionnement en vaccins pour assurer des prévisions et un suivi précis des stocks de vaccins et autres articles nécessaires à la vaccination (cf. 4.5).</w:t>
            </w:r>
          </w:p>
          <w:p w14:paraId="48555C30" w14:textId="77777777" w:rsidR="00F02120" w:rsidRPr="00794FD2" w:rsidRDefault="00F02120" w:rsidP="006E4FCB">
            <w:pPr>
              <w:pStyle w:val="ListParagraph"/>
              <w:numPr>
                <w:ilvl w:val="0"/>
                <w:numId w:val="8"/>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Renforcer et pérenniser les capacités en matière de chaîne du froid, en particulier dans les domaines de la logistique et de la gestion des déchets. </w:t>
            </w:r>
          </w:p>
          <w:p w14:paraId="0DBE89B6" w14:textId="77777777" w:rsidR="00F02120" w:rsidRPr="00794FD2" w:rsidRDefault="00F02120" w:rsidP="00890BDD">
            <w:pPr>
              <w:pStyle w:val="ListParagraph"/>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p>
        </w:tc>
      </w:tr>
      <w:tr w:rsidR="00F02120" w:rsidRPr="00794FD2" w14:paraId="5E8465CD" w14:textId="77777777" w:rsidTr="00444B31">
        <w:trPr>
          <w:cnfStyle w:val="000000010000" w:firstRow="0" w:lastRow="0" w:firstColumn="0" w:lastColumn="0" w:oddVBand="0" w:evenVBand="0" w:oddHBand="0" w:evenHBand="1"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7125FBA" w14:textId="77777777" w:rsidR="00F02120" w:rsidRPr="00794FD2" w:rsidRDefault="00F02120" w:rsidP="00D05CD6">
            <w:pPr>
              <w:jc w:val="center"/>
              <w:rPr>
                <w:rFonts w:ascii="Segoe Condensed" w:hAnsi="Segoe Condensed"/>
                <w:sz w:val="21"/>
                <w:szCs w:val="21"/>
              </w:rPr>
            </w:pPr>
          </w:p>
          <w:p w14:paraId="36EF19DE" w14:textId="77777777" w:rsidR="00F02120" w:rsidRPr="00794FD2" w:rsidRDefault="00F02120" w:rsidP="00D05CD6">
            <w:pPr>
              <w:jc w:val="center"/>
              <w:rPr>
                <w:rFonts w:ascii="Segoe Condensed" w:hAnsi="Segoe Condensed"/>
                <w:b w:val="0"/>
                <w:i/>
                <w:iCs/>
                <w:sz w:val="21"/>
                <w:szCs w:val="21"/>
              </w:rPr>
            </w:pPr>
            <w:r w:rsidRPr="00794FD2">
              <w:rPr>
                <w:rFonts w:ascii="Segoe Condensed" w:hAnsi="Segoe Condensed"/>
                <w:sz w:val="21"/>
                <w:szCs w:val="21"/>
              </w:rPr>
              <w:t>RÉSULTATS</w:t>
            </w:r>
          </w:p>
        </w:tc>
        <w:tc>
          <w:tcPr>
            <w:tcW w:w="2597" w:type="dxa"/>
          </w:tcPr>
          <w:p w14:paraId="0DC03570" w14:textId="3BAAF9C3" w:rsidR="000A0978" w:rsidRPr="00794FD2" w:rsidRDefault="00790EF9"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Amélioration de la visibilité et sensibilisation à haut niveau pour la vaccination en tant qu’intervention de santé </w:t>
            </w:r>
            <w:r w:rsidRPr="00794FD2">
              <w:rPr>
                <w:rFonts w:ascii="Segoe Condensed" w:hAnsi="Segoe Condensed"/>
                <w:color w:val="000000" w:themeColor="text1"/>
                <w:sz w:val="21"/>
                <w:szCs w:val="21"/>
              </w:rPr>
              <w:lastRenderedPageBreak/>
              <w:t xml:space="preserve">publique vitale. </w:t>
            </w:r>
          </w:p>
          <w:p w14:paraId="21CED0B9" w14:textId="1173184B"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Augmentation de l’efficacité des programmes de vaccination grâce à l’harmonisation du calendrier de vaccination des enfants et des adolescents océaniens. </w:t>
            </w:r>
          </w:p>
          <w:p w14:paraId="162A042E"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Réalisation des objectifs de vaccination du Plan d’action mondial pour les vaccins et de la Région du Pacifique occidental dans tous les pays océaniens d’ici à 2025 et 2030 respectivement.</w:t>
            </w:r>
          </w:p>
          <w:p w14:paraId="64EF0A50"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color w:val="000000" w:themeColor="text1"/>
                <w:sz w:val="21"/>
                <w:szCs w:val="21"/>
              </w:rPr>
            </w:pPr>
            <w:r w:rsidRPr="00794FD2">
              <w:rPr>
                <w:rFonts w:ascii="Segoe Condensed" w:hAnsi="Segoe Condensed"/>
                <w:color w:val="000000" w:themeColor="text1"/>
                <w:sz w:val="21"/>
                <w:szCs w:val="21"/>
              </w:rPr>
              <w:t>Amélioration des rapports sur la couverture vaccinale en vue de la constitution d’une « immunité collective dans le Pacifique ».</w:t>
            </w:r>
          </w:p>
          <w:p w14:paraId="416B8258"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Obtention et pérennisation, dans tous les pays océaniens, du statut de maîtrise et d’éradication de toutes les maladies à prévention vaccinale visées, aux échelons mondial et régional.</w:t>
            </w:r>
          </w:p>
        </w:tc>
        <w:tc>
          <w:tcPr>
            <w:tcW w:w="2597" w:type="dxa"/>
          </w:tcPr>
          <w:p w14:paraId="5474374B" w14:textId="45EB757E"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lastRenderedPageBreak/>
              <w:t xml:space="preserve">Mise en œuvre d’efforts de communication en faveur de la vaccination reposant sur des données factuelles, et </w:t>
            </w:r>
            <w:r w:rsidRPr="00794FD2">
              <w:rPr>
                <w:rFonts w:ascii="Segoe Condensed" w:hAnsi="Segoe Condensed"/>
                <w:color w:val="000000" w:themeColor="text1"/>
                <w:sz w:val="21"/>
                <w:szCs w:val="21"/>
              </w:rPr>
              <w:lastRenderedPageBreak/>
              <w:t>permettant d’accroître la demande de services de vaccination.</w:t>
            </w:r>
            <w:r w:rsidR="008048B6">
              <w:rPr>
                <w:rFonts w:ascii="Segoe Condensed" w:hAnsi="Segoe Condensed"/>
                <w:color w:val="000000" w:themeColor="text1"/>
                <w:sz w:val="21"/>
                <w:szCs w:val="21"/>
              </w:rPr>
              <w:t xml:space="preserve"> </w:t>
            </w:r>
          </w:p>
          <w:p w14:paraId="097A2379" w14:textId="02565C2D"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Renforcement de la confiance envers les programmes de vaccination.</w:t>
            </w:r>
          </w:p>
          <w:p w14:paraId="2DAF89A9" w14:textId="33AFAD8F"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Mise en place de systèmes de communication rapide en réaction aux MAPI, contribuant à maintenir la confiance du public envers les vaccins ainsi que la sécurité et l’efficacité des programmes de vaccination.</w:t>
            </w:r>
            <w:r w:rsidR="008048B6">
              <w:rPr>
                <w:rFonts w:ascii="Segoe Condensed" w:hAnsi="Segoe Condensed"/>
                <w:color w:val="000000" w:themeColor="text1"/>
                <w:sz w:val="21"/>
                <w:szCs w:val="21"/>
              </w:rPr>
              <w:t xml:space="preserve"> </w:t>
            </w:r>
          </w:p>
        </w:tc>
        <w:tc>
          <w:tcPr>
            <w:tcW w:w="3005" w:type="dxa"/>
          </w:tcPr>
          <w:p w14:paraId="4240F4C8" w14:textId="7D7EA6FF"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lastRenderedPageBreak/>
              <w:t>Fourniture de services de vaccination accessibles et de qualité à tous.</w:t>
            </w:r>
          </w:p>
          <w:p w14:paraId="50FB7512" w14:textId="7ED9720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 xml:space="preserve">Administration de vaccins complets </w:t>
            </w:r>
            <w:r w:rsidRPr="00794FD2">
              <w:rPr>
                <w:rFonts w:ascii="Segoe Condensed" w:hAnsi="Segoe Condensed"/>
                <w:color w:val="000000" w:themeColor="text1"/>
                <w:sz w:val="21"/>
                <w:szCs w:val="21"/>
              </w:rPr>
              <w:lastRenderedPageBreak/>
              <w:t>dans le respect du calendrier harmonisé adopté pour la vaccination des enfants et des adolescents en Océanie.</w:t>
            </w:r>
          </w:p>
          <w:p w14:paraId="59C71A44"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Comblement des lacunes en matière d’immunité causées par une faible couverture vaccinale.</w:t>
            </w:r>
          </w:p>
          <w:p w14:paraId="46477DAA" w14:textId="76F87E3C"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Vaccination des enfants et des adolescents déplacés dans les délais prévus grâce aux registres de vaccination et aux accords de partage de données entre les pays océaniens.</w:t>
            </w:r>
          </w:p>
          <w:p w14:paraId="3FACD03A"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Détection et traitement rapides des individus non ou insuffisamment immunisés au cours des épidémies de maladies à prévention vaccinale, notamment par la vaccination post-exposition.</w:t>
            </w:r>
          </w:p>
        </w:tc>
        <w:tc>
          <w:tcPr>
            <w:tcW w:w="3005" w:type="dxa"/>
          </w:tcPr>
          <w:p w14:paraId="63BD295E" w14:textId="360FC234"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lastRenderedPageBreak/>
              <w:t xml:space="preserve">Fourniture de services de vaccination efficaces dans le cadre des services de soins de santé primaire. </w:t>
            </w:r>
          </w:p>
          <w:p w14:paraId="6AE8F55B" w14:textId="5152635E"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lastRenderedPageBreak/>
              <w:t xml:space="preserve">Détection et gestion rapides des suspicions et des épidémies de maladies à prévention vaccinale grâce à une bonne coordination des programmes de surveillance et de vaccination contre les maladies. </w:t>
            </w:r>
          </w:p>
          <w:p w14:paraId="061987B8"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color w:val="000000" w:themeColor="text1"/>
                <w:sz w:val="21"/>
                <w:szCs w:val="21"/>
              </w:rPr>
            </w:pPr>
            <w:r w:rsidRPr="00794FD2">
              <w:rPr>
                <w:rFonts w:ascii="Segoe Condensed" w:hAnsi="Segoe Condensed"/>
                <w:color w:val="000000" w:themeColor="text1"/>
                <w:sz w:val="21"/>
                <w:szCs w:val="21"/>
              </w:rPr>
              <w:t>Amélioration de la consignation et de la récupération des vaccins reçus grâce aux registres électroniques.</w:t>
            </w:r>
          </w:p>
          <w:p w14:paraId="1C78414A" w14:textId="7F47720B"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Garantie de la sécurité et de la qualité des programmes de vaccination.</w:t>
            </w:r>
          </w:p>
          <w:p w14:paraId="4C6D6423" w14:textId="55116B85"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 xml:space="preserve">Diminution de l’occurrence des MAPI évitables ainsi que des autres préoccupations liées à la qualité et à la sécurité des vaccins. </w:t>
            </w:r>
          </w:p>
        </w:tc>
        <w:tc>
          <w:tcPr>
            <w:tcW w:w="2597" w:type="dxa"/>
          </w:tcPr>
          <w:p w14:paraId="1BA76BA8" w14:textId="4FF873F6"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lastRenderedPageBreak/>
              <w:t xml:space="preserve">Gestion et financement durables et efficaces des programmes de vaccination aux échelons national et </w:t>
            </w:r>
            <w:r w:rsidRPr="00794FD2">
              <w:rPr>
                <w:rFonts w:ascii="Segoe Condensed" w:hAnsi="Segoe Condensed"/>
                <w:color w:val="000000" w:themeColor="text1"/>
                <w:sz w:val="21"/>
                <w:szCs w:val="21"/>
              </w:rPr>
              <w:lastRenderedPageBreak/>
              <w:t>infranational dans tous les pays océaniens.</w:t>
            </w:r>
          </w:p>
          <w:p w14:paraId="00D9D6D0" w14:textId="77777777"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Disponibilité de financements pérennes et réguliers pour les besoins et l’approvisionnement prévisionnels en vaccins.</w:t>
            </w:r>
          </w:p>
          <w:p w14:paraId="4012A7AE" w14:textId="77777777" w:rsidR="00BC75D7" w:rsidRPr="00794FD2" w:rsidRDefault="00BC75D7"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Création de nouvelles possibilités d’économies d’échelle en matière d’acquisition de vaccins grâce à l’harmonisation du calendrier.</w:t>
            </w:r>
          </w:p>
          <w:p w14:paraId="26B787F2" w14:textId="09857D29"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794FD2">
              <w:rPr>
                <w:rFonts w:ascii="Segoe Condensed" w:hAnsi="Segoe Condensed"/>
                <w:color w:val="000000" w:themeColor="text1"/>
                <w:sz w:val="21"/>
                <w:szCs w:val="21"/>
              </w:rPr>
              <w:t xml:space="preserve">Disponibilité de réserves en cas d’urgence grâce à la participation aux achats groupés et à l’initiative pour l’autonomie en matière de vaccins de l’UNICEF. </w:t>
            </w:r>
          </w:p>
          <w:p w14:paraId="69E703A9" w14:textId="667206D5" w:rsidR="00F02120" w:rsidRPr="00794FD2"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794FD2">
              <w:rPr>
                <w:rFonts w:ascii="Segoe Condensed" w:hAnsi="Segoe Condensed"/>
                <w:color w:val="000000" w:themeColor="text1"/>
                <w:sz w:val="21"/>
                <w:szCs w:val="21"/>
              </w:rPr>
              <w:t>Mise en place d’un matériel, de réserves et d’infrastructures permettant la livraison sans interruption de vaccins de qualité et le respect de la chaîne du froid.</w:t>
            </w:r>
            <w:r w:rsidR="008048B6">
              <w:rPr>
                <w:rFonts w:ascii="Segoe Condensed" w:hAnsi="Segoe Condensed"/>
                <w:color w:val="000000" w:themeColor="text1"/>
                <w:sz w:val="21"/>
                <w:szCs w:val="21"/>
              </w:rPr>
              <w:t xml:space="preserve"> </w:t>
            </w:r>
          </w:p>
        </w:tc>
      </w:tr>
      <w:tr w:rsidR="00F02120" w:rsidRPr="00794FD2" w14:paraId="60BD0CFE" w14:textId="77777777" w:rsidTr="00444B31">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420" w:type="dxa"/>
            <w:tcBorders>
              <w:bottom w:val="single" w:sz="18" w:space="0" w:color="4F81BD" w:themeColor="accent1"/>
            </w:tcBorders>
            <w:shd w:val="clear" w:color="auto" w:fill="D9D9D9" w:themeFill="background1" w:themeFillShade="D9"/>
          </w:tcPr>
          <w:p w14:paraId="18424989" w14:textId="77777777" w:rsidR="00F02120" w:rsidRPr="00794FD2" w:rsidRDefault="00F02120" w:rsidP="00D05CD6">
            <w:pPr>
              <w:spacing w:before="240"/>
              <w:jc w:val="center"/>
              <w:rPr>
                <w:rFonts w:ascii="Segoe Condensed" w:hAnsi="Segoe Condensed"/>
                <w:sz w:val="21"/>
                <w:szCs w:val="21"/>
              </w:rPr>
            </w:pPr>
            <w:r w:rsidRPr="00794FD2">
              <w:rPr>
                <w:rFonts w:ascii="Segoe Condensed" w:hAnsi="Segoe Condensed"/>
                <w:sz w:val="21"/>
                <w:szCs w:val="21"/>
              </w:rPr>
              <w:lastRenderedPageBreak/>
              <w:t>IMPACT</w:t>
            </w:r>
          </w:p>
        </w:tc>
        <w:tc>
          <w:tcPr>
            <w:tcW w:w="13801" w:type="dxa"/>
            <w:gridSpan w:val="5"/>
            <w:tcBorders>
              <w:bottom w:val="single" w:sz="18" w:space="0" w:color="4F81BD" w:themeColor="accent1"/>
            </w:tcBorders>
          </w:tcPr>
          <w:p w14:paraId="420BBB00" w14:textId="77777777" w:rsidR="00F02120" w:rsidRPr="00794FD2" w:rsidRDefault="00F02120" w:rsidP="00444B31">
            <w:pPr>
              <w:ind w:left="284"/>
              <w:jc w:val="center"/>
              <w:cnfStyle w:val="000000100000" w:firstRow="0" w:lastRow="0" w:firstColumn="0" w:lastColumn="0" w:oddVBand="0" w:evenVBand="0" w:oddHBand="1" w:evenHBand="0" w:firstRowFirstColumn="0" w:firstRowLastColumn="0" w:lastRowFirstColumn="0" w:lastRowLastColumn="0"/>
              <w:rPr>
                <w:rFonts w:ascii="Segoe Condensed" w:hAnsi="Segoe Condensed"/>
                <w:b/>
                <w:bCs/>
                <w:color w:val="000000" w:themeColor="text1"/>
                <w:sz w:val="21"/>
                <w:szCs w:val="21"/>
              </w:rPr>
            </w:pPr>
            <w:r w:rsidRPr="00794FD2">
              <w:rPr>
                <w:rFonts w:ascii="Segoe Condensed" w:hAnsi="Segoe Condensed"/>
                <w:b/>
                <w:bCs/>
                <w:color w:val="000000" w:themeColor="text1"/>
                <w:sz w:val="21"/>
                <w:szCs w:val="21"/>
              </w:rPr>
              <w:t>Baisse de la morbidité et de la mortalité liées aux maladies à prévention vaccinale et aux cancers.</w:t>
            </w:r>
          </w:p>
          <w:p w14:paraId="5711CB9C" w14:textId="77777777" w:rsidR="00F02120" w:rsidRPr="00794FD2" w:rsidRDefault="00F02120" w:rsidP="00444B31">
            <w:pPr>
              <w:ind w:left="284"/>
              <w:jc w:val="center"/>
              <w:cnfStyle w:val="000000100000" w:firstRow="0" w:lastRow="0" w:firstColumn="0" w:lastColumn="0" w:oddVBand="0" w:evenVBand="0" w:oddHBand="1" w:evenHBand="0" w:firstRowFirstColumn="0" w:firstRowLastColumn="0" w:lastRowFirstColumn="0" w:lastRowLastColumn="0"/>
              <w:rPr>
                <w:rFonts w:ascii="Segoe Condensed" w:hAnsi="Segoe Condensed"/>
                <w:b/>
                <w:color w:val="000000" w:themeColor="text1"/>
                <w:spacing w:val="-6"/>
                <w:sz w:val="21"/>
                <w:szCs w:val="21"/>
              </w:rPr>
            </w:pPr>
            <w:r w:rsidRPr="00794FD2">
              <w:rPr>
                <w:rFonts w:ascii="Segoe Condensed" w:hAnsi="Segoe Condensed"/>
                <w:b/>
                <w:color w:val="000000" w:themeColor="text1"/>
                <w:sz w:val="21"/>
                <w:szCs w:val="21"/>
              </w:rPr>
              <w:t>Amélioration de la santé des enfants et des adolescents conformément au concept d’îles-santé et à l’Objectif de développement durable 3.</w:t>
            </w:r>
          </w:p>
        </w:tc>
      </w:tr>
    </w:tbl>
    <w:p w14:paraId="4FA846A3" w14:textId="77777777" w:rsidR="00E753DE" w:rsidRPr="00794FD2" w:rsidRDefault="00E753DE" w:rsidP="00A52232"/>
    <w:sectPr w:rsidR="00E753DE" w:rsidRPr="00794FD2" w:rsidSect="0076535D">
      <w:headerReference w:type="even" r:id="rId22"/>
      <w:headerReference w:type="default" r:id="rId23"/>
      <w:headerReference w:type="first" r:id="rId24"/>
      <w:footerReference w:type="first" r:id="rId25"/>
      <w:pgSz w:w="16839" w:h="11907" w:orient="landscape" w:code="9"/>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AC50F" w14:textId="77777777" w:rsidR="00413651" w:rsidRDefault="00413651" w:rsidP="00DC6979">
      <w:pPr>
        <w:spacing w:after="0" w:line="240" w:lineRule="auto"/>
      </w:pPr>
      <w:r>
        <w:separator/>
      </w:r>
    </w:p>
  </w:endnote>
  <w:endnote w:type="continuationSeparator" w:id="0">
    <w:p w14:paraId="0539F538" w14:textId="77777777" w:rsidR="00413651" w:rsidRDefault="00413651" w:rsidP="00DC6979">
      <w:pPr>
        <w:spacing w:after="0" w:line="240" w:lineRule="auto"/>
      </w:pPr>
      <w:r>
        <w:continuationSeparator/>
      </w:r>
    </w:p>
  </w:endnote>
  <w:endnote w:type="continuationNotice" w:id="1">
    <w:p w14:paraId="44261081" w14:textId="77777777" w:rsidR="00413651" w:rsidRDefault="004136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Condensed">
    <w:panose1 w:val="020B0606040200020203"/>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77C50" w14:textId="77777777" w:rsidR="00E56608" w:rsidRDefault="00E566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76A8D" w14:textId="77777777" w:rsidR="00E56608" w:rsidRDefault="00E566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4B82F" w14:textId="77777777" w:rsidR="0066050D" w:rsidRDefault="0066050D">
    <w:pPr>
      <w:pBdr>
        <w:top w:val="single" w:sz="4" w:space="1" w:color="D9D9D9"/>
        <w:left w:val="nil"/>
        <w:bottom w:val="nil"/>
        <w:right w:val="nil"/>
        <w:between w:val="nil"/>
      </w:pBdr>
      <w:tabs>
        <w:tab w:val="center" w:pos="4680"/>
        <w:tab w:val="right" w:pos="9360"/>
      </w:tabs>
      <w:spacing w:after="0" w:line="240" w:lineRule="auto"/>
      <w:rPr>
        <w:b/>
        <w:color w:val="000000"/>
      </w:rPr>
    </w:pPr>
  </w:p>
  <w:p w14:paraId="7C4AC54D" w14:textId="77777777" w:rsidR="0066050D" w:rsidRDefault="0066050D">
    <w:pPr>
      <w:pBdr>
        <w:top w:val="nil"/>
        <w:left w:val="nil"/>
        <w:bottom w:val="nil"/>
        <w:right w:val="nil"/>
        <w:between w:val="nil"/>
      </w:pBdr>
      <w:tabs>
        <w:tab w:val="center" w:pos="4680"/>
        <w:tab w:val="right" w:pos="9360"/>
      </w:tabs>
      <w:spacing w:after="0" w:line="240" w:lineRule="auto"/>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7501C" w14:textId="77777777" w:rsidR="0066050D" w:rsidRDefault="0066050D" w:rsidP="00BD60F7">
    <w:pPr>
      <w:pStyle w:val="Footer"/>
      <w:pBdr>
        <w:top w:val="single" w:sz="4" w:space="1" w:color="D9D9D9" w:themeColor="background1" w:themeShade="D9"/>
      </w:pBdr>
      <w:rPr>
        <w:b/>
        <w:bCs/>
      </w:rPr>
    </w:pPr>
  </w:p>
  <w:p w14:paraId="79E93183" w14:textId="77777777" w:rsidR="0066050D" w:rsidRDefault="006605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D64FB" w14:textId="77777777" w:rsidR="00413651" w:rsidRDefault="00413651" w:rsidP="00DC6979">
      <w:pPr>
        <w:spacing w:after="0" w:line="240" w:lineRule="auto"/>
      </w:pPr>
      <w:r>
        <w:separator/>
      </w:r>
    </w:p>
  </w:footnote>
  <w:footnote w:type="continuationSeparator" w:id="0">
    <w:p w14:paraId="22D5081D" w14:textId="77777777" w:rsidR="00413651" w:rsidRDefault="00413651" w:rsidP="00DC6979">
      <w:pPr>
        <w:spacing w:after="0" w:line="240" w:lineRule="auto"/>
      </w:pPr>
      <w:r>
        <w:continuationSeparator/>
      </w:r>
    </w:p>
  </w:footnote>
  <w:footnote w:type="continuationNotice" w:id="1">
    <w:p w14:paraId="11D2B603" w14:textId="77777777" w:rsidR="00413651" w:rsidRDefault="00413651">
      <w:pPr>
        <w:spacing w:after="0" w:line="240" w:lineRule="auto"/>
      </w:pPr>
    </w:p>
  </w:footnote>
  <w:footnote w:id="2">
    <w:p w14:paraId="548E0D08" w14:textId="77777777" w:rsidR="00794FD2" w:rsidRPr="00B514C6" w:rsidRDefault="00794FD2" w:rsidP="00794FD2">
      <w:pPr>
        <w:pStyle w:val="FootnoteText"/>
        <w:ind w:left="142" w:hanging="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w:t>
      </w:r>
      <w:r>
        <w:rPr>
          <w:rFonts w:ascii="Times New Roman" w:hAnsi="Times New Roman"/>
        </w:rPr>
        <w:tab/>
        <w:t xml:space="preserve">OMS. Cadre régional d’application du Plan d’action mondial pour les vaccins (Pacifique occidental), 2015 (en anglais). </w:t>
      </w:r>
      <w:hyperlink r:id="rId1" w:history="1">
        <w:r>
          <w:rPr>
            <w:rStyle w:val="Hyperlink"/>
            <w:rFonts w:ascii="Times New Roman" w:hAnsi="Times New Roman"/>
          </w:rPr>
          <w:t>https://iris.wpro.who.int/bitstream/handle/10665.1/10921/9789290617099_eng.pdf</w:t>
        </w:r>
      </w:hyperlink>
      <w:r>
        <w:rPr>
          <w:rFonts w:ascii="Times New Roman" w:hAnsi="Times New Roman"/>
        </w:rPr>
        <w:t xml:space="preserve"> </w:t>
      </w:r>
    </w:p>
  </w:footnote>
  <w:footnote w:id="3">
    <w:p w14:paraId="6DA91CFC" w14:textId="77777777" w:rsidR="00161FD0" w:rsidRPr="00F61D03" w:rsidRDefault="00161FD0" w:rsidP="00161FD0">
      <w:pPr>
        <w:pStyle w:val="FootnoteText"/>
        <w:ind w:left="142" w:hanging="142"/>
      </w:pPr>
      <w:r>
        <w:rPr>
          <w:rStyle w:val="FootnoteReference"/>
        </w:rPr>
        <w:footnoteRef/>
      </w:r>
      <w:r>
        <w:t xml:space="preserve"> </w:t>
      </w:r>
      <w:r>
        <w:tab/>
      </w:r>
      <w:r>
        <w:rPr>
          <w:rFonts w:ascii="Times New Roman" w:hAnsi="Times New Roman"/>
        </w:rPr>
        <w:t xml:space="preserve">Vaccins antirotavirus : Note de synthèse de l’OMS – janvier 2013. </w:t>
      </w:r>
      <w:r>
        <w:rPr>
          <w:rFonts w:ascii="Times New Roman" w:hAnsi="Times New Roman"/>
          <w:i/>
        </w:rPr>
        <w:t xml:space="preserve">Relevé épidémiologique hebdomadaire, </w:t>
      </w:r>
      <w:r>
        <w:t>N° </w:t>
      </w:r>
      <w:r>
        <w:rPr>
          <w:rFonts w:ascii="Times New Roman" w:hAnsi="Times New Roman"/>
        </w:rPr>
        <w:t xml:space="preserve">2013;88(5):49-64. </w:t>
      </w:r>
      <w:hyperlink r:id="rId2" w:history="1">
        <w:r>
          <w:rPr>
            <w:rStyle w:val="Hyperlink"/>
            <w:rFonts w:ascii="Times New Roman" w:hAnsi="Times New Roman"/>
          </w:rPr>
          <w:t>https://www.who.int/wer/2013/wer8805.pdf</w:t>
        </w:r>
      </w:hyperlink>
      <w:r>
        <w:rPr>
          <w:rFonts w:ascii="Times New Roman" w:hAnsi="Times New Roman"/>
        </w:rPr>
        <w:t xml:space="preserve"> </w:t>
      </w:r>
    </w:p>
  </w:footnote>
  <w:footnote w:id="4">
    <w:p w14:paraId="06DAC62B" w14:textId="77777777" w:rsidR="00161FD0" w:rsidRPr="00B514C6" w:rsidRDefault="00161FD0" w:rsidP="00161FD0">
      <w:pPr>
        <w:pStyle w:val="FootnoteText"/>
        <w:ind w:left="142" w:hanging="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w:t>
      </w:r>
      <w:r>
        <w:rPr>
          <w:rFonts w:ascii="Times New Roman" w:hAnsi="Times New Roman"/>
        </w:rPr>
        <w:tab/>
        <w:t xml:space="preserve">OMS – site Internet de l’Observatoire mondial de la santé. Vaccin antidiphtérique-antitétanique-anticoquelucheux (DTC3). Couverture vaccinale estimée par pays, </w:t>
      </w:r>
      <w:hyperlink r:id="rId3" w:history="1">
        <w:r>
          <w:rPr>
            <w:rStyle w:val="Hyperlink"/>
            <w:rFonts w:ascii="Times New Roman" w:hAnsi="Times New Roman"/>
          </w:rPr>
          <w:t>http://apps.who.int/gho/data/view.main.80200?lang=en</w:t>
        </w:r>
      </w:hyperlink>
    </w:p>
  </w:footnote>
  <w:footnote w:id="5">
    <w:p w14:paraId="1494EE4F" w14:textId="71AF6033" w:rsidR="0066050D" w:rsidRDefault="0066050D" w:rsidP="00023FFE">
      <w:pPr>
        <w:pBdr>
          <w:top w:val="nil"/>
          <w:left w:val="nil"/>
          <w:bottom w:val="nil"/>
          <w:right w:val="nil"/>
          <w:between w:val="nil"/>
        </w:pBdr>
        <w:spacing w:after="0" w:line="240" w:lineRule="auto"/>
        <w:ind w:left="142" w:hanging="142"/>
        <w:jc w:val="both"/>
        <w:rPr>
          <w:color w:val="000000"/>
          <w:sz w:val="20"/>
          <w:szCs w:val="20"/>
        </w:rPr>
      </w:pPr>
      <w:r>
        <w:rPr>
          <w:vertAlign w:val="superscript"/>
        </w:rPr>
        <w:footnoteRef/>
      </w:r>
      <w:r>
        <w:rPr>
          <w:rFonts w:ascii="Calibri" w:hAnsi="Calibri"/>
          <w:color w:val="000000"/>
          <w:sz w:val="20"/>
          <w:szCs w:val="20"/>
        </w:rPr>
        <w:tab/>
        <w:t>Ce calendrier contient uniquement les formulations vaccinales préqualifiées par l’OMS.</w:t>
      </w:r>
      <w:r w:rsidR="008048B6">
        <w:rPr>
          <w:rFonts w:ascii="Calibri" w:hAnsi="Calibri"/>
          <w:color w:val="000000"/>
          <w:sz w:val="20"/>
          <w:szCs w:val="20"/>
        </w:rPr>
        <w:t xml:space="preserve"> </w:t>
      </w:r>
      <w:r>
        <w:rPr>
          <w:rFonts w:ascii="Calibri" w:hAnsi="Calibri"/>
          <w:color w:val="000000"/>
          <w:sz w:val="20"/>
          <w:szCs w:val="20"/>
        </w:rPr>
        <w:t>Certains pays océaniens utilisent déjà des vaccins hexavalents (diphtérie, tétanos, coqueluche, hépatite B, poliomyélite et Hib).</w:t>
      </w:r>
    </w:p>
  </w:footnote>
  <w:footnote w:id="6">
    <w:p w14:paraId="30871977" w14:textId="77777777" w:rsidR="0066050D" w:rsidRDefault="0066050D" w:rsidP="00A82880">
      <w:pPr>
        <w:spacing w:after="0" w:line="240" w:lineRule="auto"/>
        <w:ind w:left="142" w:hanging="142"/>
        <w:jc w:val="both"/>
        <w:rPr>
          <w:sz w:val="20"/>
          <w:szCs w:val="20"/>
        </w:rPr>
      </w:pPr>
      <w:r>
        <w:rPr>
          <w:vertAlign w:val="superscript"/>
        </w:rPr>
        <w:footnoteRef/>
      </w:r>
      <w:r>
        <w:rPr>
          <w:sz w:val="20"/>
          <w:szCs w:val="20"/>
        </w:rPr>
        <w:tab/>
        <w:t>Le BCG n’est pas administré aux Samoa américaines, aux Îles Mariannes du Nord, à Guam et à Palau.</w:t>
      </w:r>
    </w:p>
  </w:footnote>
  <w:footnote w:id="7">
    <w:p w14:paraId="49E8B45F" w14:textId="77777777" w:rsidR="0066050D" w:rsidRPr="00F00CD7" w:rsidRDefault="0066050D" w:rsidP="00023FFE">
      <w:pPr>
        <w:pStyle w:val="FootnoteText"/>
        <w:ind w:left="142" w:hanging="142"/>
      </w:pPr>
      <w:r>
        <w:rPr>
          <w:rStyle w:val="FootnoteReference"/>
        </w:rPr>
        <w:footnoteRef/>
      </w:r>
      <w:r>
        <w:tab/>
        <w:t>Plusieurs formulations vaccinales associées contre la diphtérie, le tétanos, la coqueluche, la Hib et l’hépatite B sont utilisées en Océanie.</w:t>
      </w:r>
    </w:p>
  </w:footnote>
  <w:footnote w:id="8">
    <w:p w14:paraId="7F5C834D" w14:textId="77777777" w:rsidR="0066050D" w:rsidRPr="00F00CD7" w:rsidRDefault="0066050D" w:rsidP="00012ED7">
      <w:pPr>
        <w:pStyle w:val="FootnoteText"/>
        <w:ind w:left="142" w:hanging="142"/>
      </w:pPr>
      <w:r>
        <w:rPr>
          <w:rStyle w:val="FootnoteReference"/>
        </w:rPr>
        <w:footnoteRef/>
      </w:r>
      <w:r>
        <w:tab/>
        <w:t>Certains pays océaniens ont mis en place un vaccin associé contre la rougeole, les oreillons, la rubéole et la varicelle, ou prévoient de le faire.</w:t>
      </w:r>
    </w:p>
  </w:footnote>
  <w:footnote w:id="9">
    <w:p w14:paraId="1B2620F4" w14:textId="77777777" w:rsidR="0066050D" w:rsidRDefault="0066050D" w:rsidP="00023FFE">
      <w:pPr>
        <w:pBdr>
          <w:top w:val="nil"/>
          <w:left w:val="nil"/>
          <w:bottom w:val="nil"/>
          <w:right w:val="nil"/>
          <w:between w:val="nil"/>
        </w:pBdr>
        <w:spacing w:after="0" w:line="240" w:lineRule="auto"/>
        <w:ind w:left="142" w:hanging="142"/>
        <w:jc w:val="both"/>
        <w:rPr>
          <w:color w:val="000000"/>
          <w:sz w:val="20"/>
          <w:szCs w:val="20"/>
        </w:rPr>
      </w:pPr>
      <w:r>
        <w:rPr>
          <w:vertAlign w:val="superscript"/>
        </w:rPr>
        <w:footnoteRef/>
      </w:r>
      <w:r>
        <w:rPr>
          <w:rFonts w:ascii="Calibri" w:hAnsi="Calibri"/>
          <w:color w:val="000000"/>
          <w:sz w:val="20"/>
          <w:szCs w:val="20"/>
        </w:rPr>
        <w:tab/>
        <w:t>La priorité est accordée à une pleine harmonisation du calendrier de vaccination pour la prévention de maladies à potentiel épidémique ; pour la vaccination anti-HPV, une tranche d’âge et un intervalle sont fournis.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AED69"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r>
      <w:rPr>
        <w:rFonts w:ascii="Calibri" w:hAnsi="Calibri"/>
        <w:b/>
        <w:color w:val="000000"/>
      </w:rPr>
      <w:t>PIC13/</w:t>
    </w:r>
  </w:p>
  <w:p w14:paraId="24029489"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r>
      <w:rPr>
        <w:rFonts w:ascii="Calibri" w:hAnsi="Calibri"/>
        <w:b/>
        <w:color w:val="000000"/>
      </w:rPr>
      <w:t>page </w:t>
    </w:r>
    <w:r>
      <w:rPr>
        <w:b/>
        <w:color w:val="000000"/>
      </w:rPr>
      <w:fldChar w:fldCharType="begin"/>
    </w:r>
    <w:r>
      <w:rPr>
        <w:rFonts w:ascii="Calibri" w:eastAsia="Calibri" w:hAnsi="Calibri" w:cs="Calibri"/>
        <w:b/>
        <w:color w:val="000000"/>
      </w:rPr>
      <w:instrText>PAGE</w:instrText>
    </w:r>
    <w:r>
      <w:rPr>
        <w:b/>
        <w:color w:val="000000"/>
      </w:rPr>
      <w:fldChar w:fldCharType="separate"/>
    </w:r>
    <w:r w:rsidR="00590B0C">
      <w:rPr>
        <w:rFonts w:ascii="Calibri" w:eastAsia="Calibri" w:hAnsi="Calibri" w:cs="Calibri"/>
        <w:b/>
        <w:color w:val="000000"/>
      </w:rPr>
      <w:t>10</w:t>
    </w:r>
    <w:r>
      <w:rPr>
        <w:b/>
        <w:color w:val="000000"/>
      </w:rPr>
      <w:fldChar w:fldCharType="end"/>
    </w:r>
  </w:p>
  <w:p w14:paraId="120918E0"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p>
  <w:p w14:paraId="020BF955"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3952D" w14:textId="0882FB06" w:rsidR="0066050D" w:rsidRDefault="00590B0C">
    <w:pPr>
      <w:pBdr>
        <w:top w:val="nil"/>
        <w:left w:val="nil"/>
        <w:bottom w:val="nil"/>
        <w:right w:val="nil"/>
        <w:between w:val="nil"/>
      </w:pBdr>
      <w:tabs>
        <w:tab w:val="center" w:pos="4680"/>
        <w:tab w:val="right" w:pos="9360"/>
      </w:tabs>
      <w:spacing w:after="0" w:line="240" w:lineRule="auto"/>
      <w:jc w:val="right"/>
      <w:rPr>
        <w:b/>
        <w:color w:val="000000"/>
      </w:rPr>
    </w:pPr>
    <w:r>
      <w:rPr>
        <w:rFonts w:ascii="Calibri" w:hAnsi="Calibri"/>
        <w:b/>
        <w:color w:val="000000"/>
      </w:rPr>
      <w:t>PIC13/S5/1</w:t>
    </w:r>
  </w:p>
  <w:p w14:paraId="429ED955" w14:textId="583E8A99" w:rsidR="0066050D" w:rsidRDefault="0066050D">
    <w:pPr>
      <w:pBdr>
        <w:top w:val="nil"/>
        <w:left w:val="nil"/>
        <w:bottom w:val="nil"/>
        <w:right w:val="nil"/>
        <w:between w:val="nil"/>
      </w:pBdr>
      <w:tabs>
        <w:tab w:val="center" w:pos="4680"/>
        <w:tab w:val="right" w:pos="9360"/>
      </w:tabs>
      <w:spacing w:after="0" w:line="240" w:lineRule="auto"/>
      <w:jc w:val="right"/>
      <w:rPr>
        <w:b/>
        <w:color w:val="000000"/>
      </w:rPr>
    </w:pPr>
    <w:r>
      <w:rPr>
        <w:rFonts w:ascii="Calibri" w:hAnsi="Calibri"/>
        <w:b/>
        <w:color w:val="000000"/>
      </w:rPr>
      <w:t>page </w:t>
    </w:r>
    <w:r>
      <w:rPr>
        <w:b/>
        <w:color w:val="000000"/>
      </w:rPr>
      <w:fldChar w:fldCharType="begin"/>
    </w:r>
    <w:r>
      <w:rPr>
        <w:rFonts w:ascii="Calibri" w:eastAsia="Calibri" w:hAnsi="Calibri" w:cs="Calibri"/>
        <w:b/>
        <w:color w:val="000000"/>
      </w:rPr>
      <w:instrText>PAGE</w:instrText>
    </w:r>
    <w:r>
      <w:rPr>
        <w:b/>
        <w:color w:val="000000"/>
      </w:rPr>
      <w:fldChar w:fldCharType="separate"/>
    </w:r>
    <w:r w:rsidR="009E5DFC">
      <w:rPr>
        <w:rFonts w:ascii="Calibri" w:eastAsia="Calibri" w:hAnsi="Calibri" w:cs="Calibri"/>
        <w:b/>
        <w:noProof/>
        <w:color w:val="000000"/>
      </w:rPr>
      <w:t>12</w:t>
    </w:r>
    <w:r>
      <w:rPr>
        <w:b/>
        <w:color w:val="000000"/>
      </w:rPr>
      <w:fldChar w:fldCharType="end"/>
    </w:r>
  </w:p>
  <w:p w14:paraId="630460A0" w14:textId="77777777" w:rsidR="0066050D" w:rsidRDefault="0066050D">
    <w:pPr>
      <w:pBdr>
        <w:top w:val="nil"/>
        <w:left w:val="nil"/>
        <w:bottom w:val="nil"/>
        <w:right w:val="nil"/>
        <w:between w:val="nil"/>
      </w:pBdr>
      <w:tabs>
        <w:tab w:val="center" w:pos="4680"/>
        <w:tab w:val="right" w:pos="9360"/>
      </w:tabs>
      <w:spacing w:after="0" w:line="240" w:lineRule="auto"/>
      <w:jc w:val="right"/>
      <w:rPr>
        <w:b/>
        <w:color w:val="000000"/>
      </w:rPr>
    </w:pPr>
  </w:p>
  <w:p w14:paraId="39FBD6A8" w14:textId="77777777" w:rsidR="0066050D" w:rsidRDefault="0066050D">
    <w:pPr>
      <w:pBdr>
        <w:top w:val="nil"/>
        <w:left w:val="nil"/>
        <w:bottom w:val="nil"/>
        <w:right w:val="nil"/>
        <w:between w:val="nil"/>
      </w:pBdr>
      <w:tabs>
        <w:tab w:val="center" w:pos="4680"/>
        <w:tab w:val="right" w:pos="9360"/>
      </w:tabs>
      <w:spacing w:after="0" w:line="240" w:lineRule="auto"/>
      <w:jc w:val="right"/>
      <w:rPr>
        <w:b/>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125CA" w14:textId="34335FAB" w:rsidR="00590B0C" w:rsidRDefault="00590B0C" w:rsidP="00381E7C">
    <w:pPr>
      <w:pStyle w:val="Header"/>
      <w:jc w:val="center"/>
    </w:pPr>
    <w:r>
      <w:rPr>
        <w:noProof/>
        <w:lang w:val="en-US" w:eastAsia="en-US"/>
      </w:rPr>
      <w:drawing>
        <wp:inline distT="0" distB="0" distL="0" distR="0" wp14:anchorId="31EA002F" wp14:editId="7915D57A">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F65A" w14:textId="77777777" w:rsidR="0066050D" w:rsidRPr="007608DB" w:rsidRDefault="0066050D" w:rsidP="00BD60F7">
    <w:pPr>
      <w:pStyle w:val="Header"/>
      <w:rPr>
        <w:rFonts w:asciiTheme="majorBidi" w:hAnsiTheme="majorBidi" w:cstheme="majorBidi"/>
        <w:b/>
        <w:bCs/>
      </w:rPr>
    </w:pPr>
    <w:r>
      <w:rPr>
        <w:rFonts w:asciiTheme="majorBidi" w:hAnsiTheme="majorBidi"/>
        <w:b/>
        <w:bCs/>
      </w:rPr>
      <w:t>PIC13/</w:t>
    </w:r>
  </w:p>
  <w:p w14:paraId="457AD2E1" w14:textId="77777777" w:rsidR="0066050D" w:rsidRDefault="0066050D" w:rsidP="00BD60F7">
    <w:pPr>
      <w:pStyle w:val="Header"/>
      <w:rPr>
        <w:rFonts w:asciiTheme="majorBidi" w:hAnsiTheme="majorBidi" w:cstheme="majorBidi"/>
        <w:b/>
        <w:bCs/>
        <w:noProof/>
      </w:rPr>
    </w:pPr>
    <w:r>
      <w:rPr>
        <w:rFonts w:asciiTheme="majorBidi" w:hAnsiTheme="majorBidi"/>
        <w:b/>
        <w:bCs/>
      </w:rPr>
      <w:t>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590B0C">
      <w:rPr>
        <w:rFonts w:asciiTheme="majorBidi" w:hAnsiTheme="majorBidi" w:cstheme="majorBidi"/>
        <w:b/>
        <w:bCs/>
      </w:rPr>
      <w:t>6</w:t>
    </w:r>
    <w:r w:rsidRPr="007608DB">
      <w:rPr>
        <w:rFonts w:asciiTheme="majorBidi" w:hAnsiTheme="majorBidi" w:cstheme="majorBidi"/>
        <w:b/>
        <w:bCs/>
      </w:rPr>
      <w:fldChar w:fldCharType="end"/>
    </w:r>
  </w:p>
  <w:p w14:paraId="13F8E911" w14:textId="77777777" w:rsidR="0066050D" w:rsidRDefault="0066050D" w:rsidP="00BD60F7">
    <w:pPr>
      <w:pStyle w:val="Header"/>
      <w:rPr>
        <w:rFonts w:asciiTheme="majorBidi" w:hAnsiTheme="majorBidi" w:cstheme="majorBidi"/>
        <w:b/>
        <w:bCs/>
        <w:noProof/>
      </w:rPr>
    </w:pPr>
  </w:p>
  <w:p w14:paraId="4F11F729" w14:textId="77777777" w:rsidR="0066050D" w:rsidRPr="007608DB" w:rsidRDefault="0066050D" w:rsidP="00BD60F7">
    <w:pPr>
      <w:pStyle w:val="Header"/>
      <w:rPr>
        <w:rFonts w:asciiTheme="majorBidi" w:hAnsiTheme="majorBidi" w:cstheme="majorBidi"/>
        <w:b/>
        <w:b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EF82E" w14:textId="77777777" w:rsidR="0066050D" w:rsidRDefault="0066050D" w:rsidP="00BD60F7">
    <w:pPr>
      <w:pStyle w:val="Header"/>
      <w:jc w:val="right"/>
      <w:rPr>
        <w:rFonts w:asciiTheme="majorBidi" w:hAnsiTheme="majorBidi" w:cstheme="majorBidi"/>
        <w:b/>
        <w:bCs/>
        <w:noProof/>
      </w:rPr>
    </w:pPr>
  </w:p>
  <w:p w14:paraId="6003D580" w14:textId="77777777" w:rsidR="0066050D" w:rsidRPr="007608DB" w:rsidRDefault="0066050D" w:rsidP="00BD60F7">
    <w:pPr>
      <w:pStyle w:val="Header"/>
      <w:jc w:val="right"/>
      <w:rPr>
        <w:rFonts w:asciiTheme="majorBidi" w:hAnsiTheme="majorBidi" w:cstheme="majorBidi"/>
        <w:b/>
        <w:b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5B941" w14:textId="73A3B462" w:rsidR="00590B0C" w:rsidRDefault="00590B0C" w:rsidP="00381E7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131D"/>
    <w:multiLevelType w:val="multilevel"/>
    <w:tmpl w:val="D36679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64C3344"/>
    <w:multiLevelType w:val="hybridMultilevel"/>
    <w:tmpl w:val="CD3634EC"/>
    <w:lvl w:ilvl="0" w:tplc="3FC24656">
      <w:start w:val="1"/>
      <w:numFmt w:val="decimal"/>
      <w:lvlText w:val="5.%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9011BD2"/>
    <w:multiLevelType w:val="hybridMultilevel"/>
    <w:tmpl w:val="E5FEC6B4"/>
    <w:lvl w:ilvl="0" w:tplc="628AA1F4">
      <w:start w:val="1"/>
      <w:numFmt w:val="decimal"/>
      <w:lvlText w:val="3.%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99C193C"/>
    <w:multiLevelType w:val="hybridMultilevel"/>
    <w:tmpl w:val="92622E22"/>
    <w:lvl w:ilvl="0" w:tplc="3318A0F4">
      <w:start w:val="1"/>
      <w:numFmt w:val="decimal"/>
      <w:lvlText w:val="2.%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0075CB2"/>
    <w:multiLevelType w:val="multilevel"/>
    <w:tmpl w:val="C4BE3E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9A76B82"/>
    <w:multiLevelType w:val="hybridMultilevel"/>
    <w:tmpl w:val="3B68819C"/>
    <w:lvl w:ilvl="0" w:tplc="E278D2B0">
      <w:start w:val="1"/>
      <w:numFmt w:val="decimal"/>
      <w:lvlText w:val="1.%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2172811"/>
    <w:multiLevelType w:val="hybridMultilevel"/>
    <w:tmpl w:val="7ABE6534"/>
    <w:lvl w:ilvl="0" w:tplc="6618FD7E">
      <w:start w:val="1"/>
      <w:numFmt w:val="decimal"/>
      <w:lvlText w:val="4.%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51A27D95"/>
    <w:multiLevelType w:val="hybridMultilevel"/>
    <w:tmpl w:val="ACC0BB1C"/>
    <w:lvl w:ilvl="0" w:tplc="EC5061A0">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nsid w:val="558F1D79"/>
    <w:multiLevelType w:val="hybridMultilevel"/>
    <w:tmpl w:val="C312074C"/>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62813648"/>
    <w:multiLevelType w:val="multilevel"/>
    <w:tmpl w:val="13540592"/>
    <w:lvl w:ilvl="0">
      <w:start w:val="1"/>
      <w:numFmt w:val="decimal"/>
      <w:lvlText w:val="%1."/>
      <w:lvlJc w:val="left"/>
      <w:pPr>
        <w:ind w:left="36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num w:numId="1">
    <w:abstractNumId w:val="4"/>
  </w:num>
  <w:num w:numId="2">
    <w:abstractNumId w:val="0"/>
  </w:num>
  <w:num w:numId="3">
    <w:abstractNumId w:val="9"/>
  </w:num>
  <w:num w:numId="4">
    <w:abstractNumId w:val="5"/>
  </w:num>
  <w:num w:numId="5">
    <w:abstractNumId w:val="3"/>
  </w:num>
  <w:num w:numId="6">
    <w:abstractNumId w:val="2"/>
  </w:num>
  <w:num w:numId="7">
    <w:abstractNumId w:val="6"/>
  </w:num>
  <w:num w:numId="8">
    <w:abstractNumId w:val="1"/>
  </w:num>
  <w:num w:numId="9">
    <w:abstractNumId w:val="8"/>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4EAE"/>
    <w:rsid w:val="00005284"/>
    <w:rsid w:val="0000564A"/>
    <w:rsid w:val="00006A65"/>
    <w:rsid w:val="00011807"/>
    <w:rsid w:val="00012ED7"/>
    <w:rsid w:val="00021180"/>
    <w:rsid w:val="000212BC"/>
    <w:rsid w:val="00021611"/>
    <w:rsid w:val="00023FFE"/>
    <w:rsid w:val="00024B0C"/>
    <w:rsid w:val="0002548A"/>
    <w:rsid w:val="0002695F"/>
    <w:rsid w:val="000330E5"/>
    <w:rsid w:val="000357A1"/>
    <w:rsid w:val="000422C1"/>
    <w:rsid w:val="000441B6"/>
    <w:rsid w:val="00044D81"/>
    <w:rsid w:val="0004524D"/>
    <w:rsid w:val="0004739D"/>
    <w:rsid w:val="00051326"/>
    <w:rsid w:val="000516E2"/>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551E"/>
    <w:rsid w:val="00075B2E"/>
    <w:rsid w:val="00080A86"/>
    <w:rsid w:val="00080E73"/>
    <w:rsid w:val="00081EEF"/>
    <w:rsid w:val="00083747"/>
    <w:rsid w:val="00085516"/>
    <w:rsid w:val="0008603A"/>
    <w:rsid w:val="000865E3"/>
    <w:rsid w:val="00090851"/>
    <w:rsid w:val="00091380"/>
    <w:rsid w:val="00091DC6"/>
    <w:rsid w:val="000940E0"/>
    <w:rsid w:val="0009537E"/>
    <w:rsid w:val="000964EF"/>
    <w:rsid w:val="000A0978"/>
    <w:rsid w:val="000A1838"/>
    <w:rsid w:val="000A3107"/>
    <w:rsid w:val="000A4CC5"/>
    <w:rsid w:val="000A6500"/>
    <w:rsid w:val="000A7661"/>
    <w:rsid w:val="000B07B4"/>
    <w:rsid w:val="000B22EA"/>
    <w:rsid w:val="000B2BA4"/>
    <w:rsid w:val="000B3376"/>
    <w:rsid w:val="000B683B"/>
    <w:rsid w:val="000C441F"/>
    <w:rsid w:val="000C617B"/>
    <w:rsid w:val="000C6336"/>
    <w:rsid w:val="000D032C"/>
    <w:rsid w:val="000D28B0"/>
    <w:rsid w:val="000D4B86"/>
    <w:rsid w:val="000D631C"/>
    <w:rsid w:val="000D70E9"/>
    <w:rsid w:val="000E0FE6"/>
    <w:rsid w:val="000E19CD"/>
    <w:rsid w:val="000E5212"/>
    <w:rsid w:val="000E6C33"/>
    <w:rsid w:val="000F0A55"/>
    <w:rsid w:val="000F14DC"/>
    <w:rsid w:val="000F17EA"/>
    <w:rsid w:val="000F34F6"/>
    <w:rsid w:val="000F5EF1"/>
    <w:rsid w:val="0010316D"/>
    <w:rsid w:val="0010585B"/>
    <w:rsid w:val="0010726E"/>
    <w:rsid w:val="0010770D"/>
    <w:rsid w:val="00114B13"/>
    <w:rsid w:val="001214F0"/>
    <w:rsid w:val="001218CE"/>
    <w:rsid w:val="00124E49"/>
    <w:rsid w:val="00126794"/>
    <w:rsid w:val="00126D12"/>
    <w:rsid w:val="001328A1"/>
    <w:rsid w:val="00132FB5"/>
    <w:rsid w:val="00142BF4"/>
    <w:rsid w:val="001478F5"/>
    <w:rsid w:val="00147EC4"/>
    <w:rsid w:val="00150E8C"/>
    <w:rsid w:val="00152E28"/>
    <w:rsid w:val="00154857"/>
    <w:rsid w:val="001549B8"/>
    <w:rsid w:val="00154D31"/>
    <w:rsid w:val="0015752E"/>
    <w:rsid w:val="00161FD0"/>
    <w:rsid w:val="001645ED"/>
    <w:rsid w:val="001660FA"/>
    <w:rsid w:val="00166CD2"/>
    <w:rsid w:val="00166F39"/>
    <w:rsid w:val="0017007D"/>
    <w:rsid w:val="00170ADA"/>
    <w:rsid w:val="00172B5F"/>
    <w:rsid w:val="00173C3D"/>
    <w:rsid w:val="001775FD"/>
    <w:rsid w:val="00181925"/>
    <w:rsid w:val="0018617A"/>
    <w:rsid w:val="00192CD9"/>
    <w:rsid w:val="00195526"/>
    <w:rsid w:val="001A068D"/>
    <w:rsid w:val="001A0F5F"/>
    <w:rsid w:val="001A18B9"/>
    <w:rsid w:val="001A2492"/>
    <w:rsid w:val="001B2385"/>
    <w:rsid w:val="001B53A5"/>
    <w:rsid w:val="001B595B"/>
    <w:rsid w:val="001C034B"/>
    <w:rsid w:val="001C1778"/>
    <w:rsid w:val="001C26B3"/>
    <w:rsid w:val="001C37CE"/>
    <w:rsid w:val="001C38F8"/>
    <w:rsid w:val="001C7DDF"/>
    <w:rsid w:val="001D6A03"/>
    <w:rsid w:val="001E2E4F"/>
    <w:rsid w:val="001E46F5"/>
    <w:rsid w:val="001E4A38"/>
    <w:rsid w:val="001E57A3"/>
    <w:rsid w:val="001F115D"/>
    <w:rsid w:val="001F1D88"/>
    <w:rsid w:val="001F3354"/>
    <w:rsid w:val="001F6C62"/>
    <w:rsid w:val="001F7017"/>
    <w:rsid w:val="002007E7"/>
    <w:rsid w:val="00205E55"/>
    <w:rsid w:val="00206E7F"/>
    <w:rsid w:val="00211607"/>
    <w:rsid w:val="00220E92"/>
    <w:rsid w:val="00221229"/>
    <w:rsid w:val="0022338A"/>
    <w:rsid w:val="00223E04"/>
    <w:rsid w:val="00223F11"/>
    <w:rsid w:val="0022613C"/>
    <w:rsid w:val="00226E91"/>
    <w:rsid w:val="0022780C"/>
    <w:rsid w:val="00232B56"/>
    <w:rsid w:val="0023352A"/>
    <w:rsid w:val="00233644"/>
    <w:rsid w:val="00251BFF"/>
    <w:rsid w:val="002564F0"/>
    <w:rsid w:val="00257D05"/>
    <w:rsid w:val="00260F9A"/>
    <w:rsid w:val="00262450"/>
    <w:rsid w:val="00262AEA"/>
    <w:rsid w:val="0026478A"/>
    <w:rsid w:val="00265C4C"/>
    <w:rsid w:val="00266110"/>
    <w:rsid w:val="002677B3"/>
    <w:rsid w:val="00271E93"/>
    <w:rsid w:val="0027335F"/>
    <w:rsid w:val="00274684"/>
    <w:rsid w:val="00274FBF"/>
    <w:rsid w:val="00275836"/>
    <w:rsid w:val="0027646C"/>
    <w:rsid w:val="00276BC2"/>
    <w:rsid w:val="00276D0F"/>
    <w:rsid w:val="00281C02"/>
    <w:rsid w:val="00283F3D"/>
    <w:rsid w:val="002840E5"/>
    <w:rsid w:val="00285BF6"/>
    <w:rsid w:val="00286272"/>
    <w:rsid w:val="00286473"/>
    <w:rsid w:val="00287C2C"/>
    <w:rsid w:val="00290DA3"/>
    <w:rsid w:val="002916EE"/>
    <w:rsid w:val="00292686"/>
    <w:rsid w:val="002A0B3B"/>
    <w:rsid w:val="002A218B"/>
    <w:rsid w:val="002A22F9"/>
    <w:rsid w:val="002A4128"/>
    <w:rsid w:val="002A5D02"/>
    <w:rsid w:val="002A6F1B"/>
    <w:rsid w:val="002B27B4"/>
    <w:rsid w:val="002B4367"/>
    <w:rsid w:val="002B4B36"/>
    <w:rsid w:val="002B4F07"/>
    <w:rsid w:val="002B643D"/>
    <w:rsid w:val="002B6ECD"/>
    <w:rsid w:val="002C24B4"/>
    <w:rsid w:val="002C32BC"/>
    <w:rsid w:val="002C3B97"/>
    <w:rsid w:val="002C47A5"/>
    <w:rsid w:val="002C5CEB"/>
    <w:rsid w:val="002D04EA"/>
    <w:rsid w:val="002D4A80"/>
    <w:rsid w:val="002D7683"/>
    <w:rsid w:val="002E4D88"/>
    <w:rsid w:val="002F1038"/>
    <w:rsid w:val="002F24BA"/>
    <w:rsid w:val="002F267B"/>
    <w:rsid w:val="002F3C26"/>
    <w:rsid w:val="00303F03"/>
    <w:rsid w:val="003160F4"/>
    <w:rsid w:val="003169BC"/>
    <w:rsid w:val="00320BF8"/>
    <w:rsid w:val="00321108"/>
    <w:rsid w:val="00321839"/>
    <w:rsid w:val="00321B6E"/>
    <w:rsid w:val="0032415E"/>
    <w:rsid w:val="00325394"/>
    <w:rsid w:val="00325DF7"/>
    <w:rsid w:val="003262C1"/>
    <w:rsid w:val="003307C6"/>
    <w:rsid w:val="003318EA"/>
    <w:rsid w:val="003321CF"/>
    <w:rsid w:val="00332BF4"/>
    <w:rsid w:val="00333DE1"/>
    <w:rsid w:val="00340C5D"/>
    <w:rsid w:val="00341682"/>
    <w:rsid w:val="00341DFC"/>
    <w:rsid w:val="003437FC"/>
    <w:rsid w:val="0034453B"/>
    <w:rsid w:val="00345E46"/>
    <w:rsid w:val="00347141"/>
    <w:rsid w:val="00347D57"/>
    <w:rsid w:val="00352346"/>
    <w:rsid w:val="003524DF"/>
    <w:rsid w:val="00352844"/>
    <w:rsid w:val="003555D3"/>
    <w:rsid w:val="00357CE4"/>
    <w:rsid w:val="00361B9A"/>
    <w:rsid w:val="00361D92"/>
    <w:rsid w:val="00363999"/>
    <w:rsid w:val="00363B5A"/>
    <w:rsid w:val="003647B9"/>
    <w:rsid w:val="0037231D"/>
    <w:rsid w:val="00373184"/>
    <w:rsid w:val="00373585"/>
    <w:rsid w:val="0037460D"/>
    <w:rsid w:val="00381E7C"/>
    <w:rsid w:val="003848C6"/>
    <w:rsid w:val="00391C32"/>
    <w:rsid w:val="00393632"/>
    <w:rsid w:val="00393F5C"/>
    <w:rsid w:val="003977B0"/>
    <w:rsid w:val="003A18F3"/>
    <w:rsid w:val="003A66C0"/>
    <w:rsid w:val="003A7A3E"/>
    <w:rsid w:val="003B0C3B"/>
    <w:rsid w:val="003B33B9"/>
    <w:rsid w:val="003B465A"/>
    <w:rsid w:val="003B603E"/>
    <w:rsid w:val="003C1B8C"/>
    <w:rsid w:val="003C7B01"/>
    <w:rsid w:val="003D00DA"/>
    <w:rsid w:val="003D0494"/>
    <w:rsid w:val="003D29B1"/>
    <w:rsid w:val="003D35A8"/>
    <w:rsid w:val="003D594F"/>
    <w:rsid w:val="003E11FC"/>
    <w:rsid w:val="003E2DE5"/>
    <w:rsid w:val="003E3110"/>
    <w:rsid w:val="003E3233"/>
    <w:rsid w:val="003E5359"/>
    <w:rsid w:val="003E63E1"/>
    <w:rsid w:val="003E661C"/>
    <w:rsid w:val="003E6DC9"/>
    <w:rsid w:val="003F13A5"/>
    <w:rsid w:val="003F1F6A"/>
    <w:rsid w:val="003F2367"/>
    <w:rsid w:val="003F4B40"/>
    <w:rsid w:val="003F6C07"/>
    <w:rsid w:val="003F782D"/>
    <w:rsid w:val="00403B84"/>
    <w:rsid w:val="0040421F"/>
    <w:rsid w:val="00405361"/>
    <w:rsid w:val="00412625"/>
    <w:rsid w:val="0041294F"/>
    <w:rsid w:val="00413521"/>
    <w:rsid w:val="00413651"/>
    <w:rsid w:val="00422252"/>
    <w:rsid w:val="00422BDD"/>
    <w:rsid w:val="00424479"/>
    <w:rsid w:val="00424E69"/>
    <w:rsid w:val="0042627B"/>
    <w:rsid w:val="00434873"/>
    <w:rsid w:val="00436C80"/>
    <w:rsid w:val="00440011"/>
    <w:rsid w:val="0044045F"/>
    <w:rsid w:val="004438C0"/>
    <w:rsid w:val="00444B31"/>
    <w:rsid w:val="00447620"/>
    <w:rsid w:val="00453276"/>
    <w:rsid w:val="00457E6A"/>
    <w:rsid w:val="00461CDE"/>
    <w:rsid w:val="004657B5"/>
    <w:rsid w:val="00467DDF"/>
    <w:rsid w:val="00471432"/>
    <w:rsid w:val="004719D7"/>
    <w:rsid w:val="0047652F"/>
    <w:rsid w:val="004805A7"/>
    <w:rsid w:val="00483A00"/>
    <w:rsid w:val="00483B3A"/>
    <w:rsid w:val="00485D02"/>
    <w:rsid w:val="00487AA0"/>
    <w:rsid w:val="00492385"/>
    <w:rsid w:val="0049356C"/>
    <w:rsid w:val="00496AC7"/>
    <w:rsid w:val="00496F10"/>
    <w:rsid w:val="004A1C60"/>
    <w:rsid w:val="004A2696"/>
    <w:rsid w:val="004A6502"/>
    <w:rsid w:val="004A706A"/>
    <w:rsid w:val="004B1395"/>
    <w:rsid w:val="004B1EE3"/>
    <w:rsid w:val="004B32E7"/>
    <w:rsid w:val="004B3EA8"/>
    <w:rsid w:val="004B441F"/>
    <w:rsid w:val="004B5D52"/>
    <w:rsid w:val="004B716B"/>
    <w:rsid w:val="004B78B6"/>
    <w:rsid w:val="004B7C0D"/>
    <w:rsid w:val="004C3CA8"/>
    <w:rsid w:val="004C5D38"/>
    <w:rsid w:val="004D0C2A"/>
    <w:rsid w:val="004D43AC"/>
    <w:rsid w:val="004D57E5"/>
    <w:rsid w:val="004E05DF"/>
    <w:rsid w:val="004E0DBC"/>
    <w:rsid w:val="004E1B5C"/>
    <w:rsid w:val="004E4609"/>
    <w:rsid w:val="004E480B"/>
    <w:rsid w:val="004E4A10"/>
    <w:rsid w:val="004E4A66"/>
    <w:rsid w:val="004E4B10"/>
    <w:rsid w:val="004E4CE6"/>
    <w:rsid w:val="004F048D"/>
    <w:rsid w:val="0050158B"/>
    <w:rsid w:val="0050422B"/>
    <w:rsid w:val="0050591B"/>
    <w:rsid w:val="00516E7B"/>
    <w:rsid w:val="00522676"/>
    <w:rsid w:val="00523403"/>
    <w:rsid w:val="00530971"/>
    <w:rsid w:val="00533B65"/>
    <w:rsid w:val="00534DFF"/>
    <w:rsid w:val="00540F46"/>
    <w:rsid w:val="00541DF2"/>
    <w:rsid w:val="00543EA8"/>
    <w:rsid w:val="00544620"/>
    <w:rsid w:val="00550EB6"/>
    <w:rsid w:val="00551A4B"/>
    <w:rsid w:val="00552611"/>
    <w:rsid w:val="00552A13"/>
    <w:rsid w:val="00554C75"/>
    <w:rsid w:val="00556CF2"/>
    <w:rsid w:val="00560443"/>
    <w:rsid w:val="00560E73"/>
    <w:rsid w:val="00564AEE"/>
    <w:rsid w:val="00567814"/>
    <w:rsid w:val="00573F62"/>
    <w:rsid w:val="00576E43"/>
    <w:rsid w:val="00581A40"/>
    <w:rsid w:val="00583853"/>
    <w:rsid w:val="00583F16"/>
    <w:rsid w:val="0058665E"/>
    <w:rsid w:val="0058763B"/>
    <w:rsid w:val="00587D82"/>
    <w:rsid w:val="00590B0C"/>
    <w:rsid w:val="00593BFB"/>
    <w:rsid w:val="005A0B90"/>
    <w:rsid w:val="005A1E01"/>
    <w:rsid w:val="005A32B9"/>
    <w:rsid w:val="005A4E0C"/>
    <w:rsid w:val="005A6E4E"/>
    <w:rsid w:val="005B05E5"/>
    <w:rsid w:val="005B46C8"/>
    <w:rsid w:val="005B527E"/>
    <w:rsid w:val="005C00F0"/>
    <w:rsid w:val="005C07C8"/>
    <w:rsid w:val="005C0EA0"/>
    <w:rsid w:val="005C218F"/>
    <w:rsid w:val="005C32C7"/>
    <w:rsid w:val="005C3426"/>
    <w:rsid w:val="005C7BFC"/>
    <w:rsid w:val="005D0A39"/>
    <w:rsid w:val="005D2ADF"/>
    <w:rsid w:val="005D3B46"/>
    <w:rsid w:val="005D4E10"/>
    <w:rsid w:val="005D6DD8"/>
    <w:rsid w:val="005D7D58"/>
    <w:rsid w:val="005E08CF"/>
    <w:rsid w:val="005E1A28"/>
    <w:rsid w:val="005F27E5"/>
    <w:rsid w:val="005F3FFE"/>
    <w:rsid w:val="005F425E"/>
    <w:rsid w:val="005F4720"/>
    <w:rsid w:val="005F5044"/>
    <w:rsid w:val="00600155"/>
    <w:rsid w:val="00600D7E"/>
    <w:rsid w:val="00601DBB"/>
    <w:rsid w:val="00603EAE"/>
    <w:rsid w:val="0060400F"/>
    <w:rsid w:val="0060482D"/>
    <w:rsid w:val="00605237"/>
    <w:rsid w:val="00605E6C"/>
    <w:rsid w:val="00605FB0"/>
    <w:rsid w:val="0060609D"/>
    <w:rsid w:val="0060633D"/>
    <w:rsid w:val="0060634A"/>
    <w:rsid w:val="006072DF"/>
    <w:rsid w:val="00610BF7"/>
    <w:rsid w:val="006116D8"/>
    <w:rsid w:val="00611DFE"/>
    <w:rsid w:val="006142CF"/>
    <w:rsid w:val="00615DD2"/>
    <w:rsid w:val="00617D2F"/>
    <w:rsid w:val="006259B0"/>
    <w:rsid w:val="00626A0B"/>
    <w:rsid w:val="00634520"/>
    <w:rsid w:val="0063532E"/>
    <w:rsid w:val="0064357B"/>
    <w:rsid w:val="006445F7"/>
    <w:rsid w:val="006457B3"/>
    <w:rsid w:val="0065404F"/>
    <w:rsid w:val="0066050D"/>
    <w:rsid w:val="006611E7"/>
    <w:rsid w:val="006639F5"/>
    <w:rsid w:val="00663B51"/>
    <w:rsid w:val="00666CCB"/>
    <w:rsid w:val="00667CD3"/>
    <w:rsid w:val="00674DED"/>
    <w:rsid w:val="00676860"/>
    <w:rsid w:val="00677F4D"/>
    <w:rsid w:val="00680679"/>
    <w:rsid w:val="00680868"/>
    <w:rsid w:val="00681939"/>
    <w:rsid w:val="00681FAD"/>
    <w:rsid w:val="006840E1"/>
    <w:rsid w:val="00690A79"/>
    <w:rsid w:val="00693E06"/>
    <w:rsid w:val="00695A5C"/>
    <w:rsid w:val="006A1B0C"/>
    <w:rsid w:val="006A4189"/>
    <w:rsid w:val="006A548B"/>
    <w:rsid w:val="006A6523"/>
    <w:rsid w:val="006A6B56"/>
    <w:rsid w:val="006B1200"/>
    <w:rsid w:val="006B23B6"/>
    <w:rsid w:val="006B4CDF"/>
    <w:rsid w:val="006B775B"/>
    <w:rsid w:val="006C0571"/>
    <w:rsid w:val="006C1346"/>
    <w:rsid w:val="006C4067"/>
    <w:rsid w:val="006C6039"/>
    <w:rsid w:val="006C7BAE"/>
    <w:rsid w:val="006D1795"/>
    <w:rsid w:val="006D6221"/>
    <w:rsid w:val="006D6440"/>
    <w:rsid w:val="006D75C2"/>
    <w:rsid w:val="006E00C1"/>
    <w:rsid w:val="006E21E8"/>
    <w:rsid w:val="006E2BB8"/>
    <w:rsid w:val="006E4148"/>
    <w:rsid w:val="006E4FCB"/>
    <w:rsid w:val="006E5BF7"/>
    <w:rsid w:val="006E6AD9"/>
    <w:rsid w:val="006E7809"/>
    <w:rsid w:val="006E7C45"/>
    <w:rsid w:val="006E7CE0"/>
    <w:rsid w:val="006F105F"/>
    <w:rsid w:val="006F45CE"/>
    <w:rsid w:val="006F49C8"/>
    <w:rsid w:val="006F7A2D"/>
    <w:rsid w:val="00701CB4"/>
    <w:rsid w:val="00705591"/>
    <w:rsid w:val="00705E55"/>
    <w:rsid w:val="00705EF1"/>
    <w:rsid w:val="00712575"/>
    <w:rsid w:val="00717161"/>
    <w:rsid w:val="00720366"/>
    <w:rsid w:val="007205E4"/>
    <w:rsid w:val="00721F45"/>
    <w:rsid w:val="00725401"/>
    <w:rsid w:val="00725C78"/>
    <w:rsid w:val="007277D6"/>
    <w:rsid w:val="007319B0"/>
    <w:rsid w:val="00733B6D"/>
    <w:rsid w:val="00736F15"/>
    <w:rsid w:val="0074074F"/>
    <w:rsid w:val="007418C1"/>
    <w:rsid w:val="00741F24"/>
    <w:rsid w:val="00742340"/>
    <w:rsid w:val="00743918"/>
    <w:rsid w:val="007450BD"/>
    <w:rsid w:val="00750A2F"/>
    <w:rsid w:val="00752050"/>
    <w:rsid w:val="007524AE"/>
    <w:rsid w:val="007537CE"/>
    <w:rsid w:val="00753F64"/>
    <w:rsid w:val="007547B3"/>
    <w:rsid w:val="00755F07"/>
    <w:rsid w:val="007608DB"/>
    <w:rsid w:val="00761101"/>
    <w:rsid w:val="00762300"/>
    <w:rsid w:val="007638F1"/>
    <w:rsid w:val="0076535D"/>
    <w:rsid w:val="0076562E"/>
    <w:rsid w:val="00767903"/>
    <w:rsid w:val="00767B8E"/>
    <w:rsid w:val="00767E13"/>
    <w:rsid w:val="007717F0"/>
    <w:rsid w:val="0077189C"/>
    <w:rsid w:val="0077280F"/>
    <w:rsid w:val="007729B2"/>
    <w:rsid w:val="00774469"/>
    <w:rsid w:val="007755A0"/>
    <w:rsid w:val="00776FB8"/>
    <w:rsid w:val="00777BEF"/>
    <w:rsid w:val="0078171A"/>
    <w:rsid w:val="0079028A"/>
    <w:rsid w:val="00790DF6"/>
    <w:rsid w:val="00790EF9"/>
    <w:rsid w:val="00790F67"/>
    <w:rsid w:val="007932A1"/>
    <w:rsid w:val="00793CD6"/>
    <w:rsid w:val="0079439A"/>
    <w:rsid w:val="007946E1"/>
    <w:rsid w:val="00794D56"/>
    <w:rsid w:val="00794FD2"/>
    <w:rsid w:val="007973E4"/>
    <w:rsid w:val="007A182D"/>
    <w:rsid w:val="007A5D27"/>
    <w:rsid w:val="007B248A"/>
    <w:rsid w:val="007B24D6"/>
    <w:rsid w:val="007B2B74"/>
    <w:rsid w:val="007B3322"/>
    <w:rsid w:val="007B3810"/>
    <w:rsid w:val="007B57F4"/>
    <w:rsid w:val="007B61BD"/>
    <w:rsid w:val="007C13AC"/>
    <w:rsid w:val="007C28BB"/>
    <w:rsid w:val="007C31CE"/>
    <w:rsid w:val="007C6110"/>
    <w:rsid w:val="007C68DB"/>
    <w:rsid w:val="007C6B84"/>
    <w:rsid w:val="007C7C30"/>
    <w:rsid w:val="007D17E9"/>
    <w:rsid w:val="007D1A9B"/>
    <w:rsid w:val="007D27C0"/>
    <w:rsid w:val="007D2F1C"/>
    <w:rsid w:val="007D309B"/>
    <w:rsid w:val="007D39E2"/>
    <w:rsid w:val="007D4D2B"/>
    <w:rsid w:val="007D5236"/>
    <w:rsid w:val="007E01EB"/>
    <w:rsid w:val="007E10A6"/>
    <w:rsid w:val="007E3425"/>
    <w:rsid w:val="007E504D"/>
    <w:rsid w:val="007E604F"/>
    <w:rsid w:val="007E6CA0"/>
    <w:rsid w:val="007F02E0"/>
    <w:rsid w:val="007F1ADA"/>
    <w:rsid w:val="007F5F39"/>
    <w:rsid w:val="007F6195"/>
    <w:rsid w:val="008023DD"/>
    <w:rsid w:val="008048B6"/>
    <w:rsid w:val="00810147"/>
    <w:rsid w:val="00810E27"/>
    <w:rsid w:val="0081264B"/>
    <w:rsid w:val="00812D11"/>
    <w:rsid w:val="00813D7F"/>
    <w:rsid w:val="00816680"/>
    <w:rsid w:val="00822393"/>
    <w:rsid w:val="008223FB"/>
    <w:rsid w:val="00824424"/>
    <w:rsid w:val="008256AD"/>
    <w:rsid w:val="008262A6"/>
    <w:rsid w:val="00830D79"/>
    <w:rsid w:val="00836E7B"/>
    <w:rsid w:val="0083731E"/>
    <w:rsid w:val="0084043F"/>
    <w:rsid w:val="008425E6"/>
    <w:rsid w:val="0084501E"/>
    <w:rsid w:val="00845CEC"/>
    <w:rsid w:val="00850418"/>
    <w:rsid w:val="00850E11"/>
    <w:rsid w:val="00855530"/>
    <w:rsid w:val="008555A9"/>
    <w:rsid w:val="00856D78"/>
    <w:rsid w:val="00860860"/>
    <w:rsid w:val="00863C7D"/>
    <w:rsid w:val="00863FFB"/>
    <w:rsid w:val="00864CD7"/>
    <w:rsid w:val="00864FC7"/>
    <w:rsid w:val="00866D1B"/>
    <w:rsid w:val="00870FA6"/>
    <w:rsid w:val="00871239"/>
    <w:rsid w:val="00872251"/>
    <w:rsid w:val="00876DEC"/>
    <w:rsid w:val="00880048"/>
    <w:rsid w:val="00884583"/>
    <w:rsid w:val="008871AB"/>
    <w:rsid w:val="00887580"/>
    <w:rsid w:val="00890BDD"/>
    <w:rsid w:val="00895A58"/>
    <w:rsid w:val="008A3A8C"/>
    <w:rsid w:val="008B3ABF"/>
    <w:rsid w:val="008C100A"/>
    <w:rsid w:val="008C6101"/>
    <w:rsid w:val="008C6B20"/>
    <w:rsid w:val="008D1246"/>
    <w:rsid w:val="008D20CE"/>
    <w:rsid w:val="008D25C7"/>
    <w:rsid w:val="008D506B"/>
    <w:rsid w:val="008D50FB"/>
    <w:rsid w:val="008D67A9"/>
    <w:rsid w:val="008D721E"/>
    <w:rsid w:val="008E0650"/>
    <w:rsid w:val="008E0E4B"/>
    <w:rsid w:val="008E1419"/>
    <w:rsid w:val="008E201E"/>
    <w:rsid w:val="008E2099"/>
    <w:rsid w:val="008E2CBE"/>
    <w:rsid w:val="008E5BA4"/>
    <w:rsid w:val="008F0665"/>
    <w:rsid w:val="008F0FAF"/>
    <w:rsid w:val="008F3C44"/>
    <w:rsid w:val="008F5AF5"/>
    <w:rsid w:val="008F683C"/>
    <w:rsid w:val="008F68B0"/>
    <w:rsid w:val="008F7F4B"/>
    <w:rsid w:val="00902EE8"/>
    <w:rsid w:val="009065FC"/>
    <w:rsid w:val="00906AB8"/>
    <w:rsid w:val="00906EE6"/>
    <w:rsid w:val="0090737E"/>
    <w:rsid w:val="009073F5"/>
    <w:rsid w:val="00912F4F"/>
    <w:rsid w:val="00913E4A"/>
    <w:rsid w:val="0092057B"/>
    <w:rsid w:val="009206E8"/>
    <w:rsid w:val="00922580"/>
    <w:rsid w:val="00923F44"/>
    <w:rsid w:val="0093381D"/>
    <w:rsid w:val="00934FF4"/>
    <w:rsid w:val="00935B58"/>
    <w:rsid w:val="00940FBC"/>
    <w:rsid w:val="0094181C"/>
    <w:rsid w:val="00941A76"/>
    <w:rsid w:val="00941C5C"/>
    <w:rsid w:val="00950306"/>
    <w:rsid w:val="00951054"/>
    <w:rsid w:val="00951607"/>
    <w:rsid w:val="00952F18"/>
    <w:rsid w:val="0095462D"/>
    <w:rsid w:val="0096117E"/>
    <w:rsid w:val="00961F20"/>
    <w:rsid w:val="00965DB5"/>
    <w:rsid w:val="00971C9A"/>
    <w:rsid w:val="009742D3"/>
    <w:rsid w:val="0098086C"/>
    <w:rsid w:val="009817B1"/>
    <w:rsid w:val="009830E0"/>
    <w:rsid w:val="0098525D"/>
    <w:rsid w:val="00986AF7"/>
    <w:rsid w:val="0098717E"/>
    <w:rsid w:val="00987475"/>
    <w:rsid w:val="0099348F"/>
    <w:rsid w:val="009A098F"/>
    <w:rsid w:val="009A160E"/>
    <w:rsid w:val="009A4279"/>
    <w:rsid w:val="009A46E8"/>
    <w:rsid w:val="009A59CE"/>
    <w:rsid w:val="009A6A9E"/>
    <w:rsid w:val="009A7C6A"/>
    <w:rsid w:val="009B03E6"/>
    <w:rsid w:val="009B048F"/>
    <w:rsid w:val="009B6945"/>
    <w:rsid w:val="009B7586"/>
    <w:rsid w:val="009C0117"/>
    <w:rsid w:val="009C5E5C"/>
    <w:rsid w:val="009C5EE4"/>
    <w:rsid w:val="009C60DD"/>
    <w:rsid w:val="009D4270"/>
    <w:rsid w:val="009D6B41"/>
    <w:rsid w:val="009E0188"/>
    <w:rsid w:val="009E15A6"/>
    <w:rsid w:val="009E2AC8"/>
    <w:rsid w:val="009E4CD1"/>
    <w:rsid w:val="009E5DFC"/>
    <w:rsid w:val="009E71DE"/>
    <w:rsid w:val="009F12CB"/>
    <w:rsid w:val="009F274E"/>
    <w:rsid w:val="009F2764"/>
    <w:rsid w:val="009F3483"/>
    <w:rsid w:val="009F49B5"/>
    <w:rsid w:val="009F6A60"/>
    <w:rsid w:val="009F6B84"/>
    <w:rsid w:val="009F6D1E"/>
    <w:rsid w:val="009F7448"/>
    <w:rsid w:val="009F7CDF"/>
    <w:rsid w:val="00A0226E"/>
    <w:rsid w:val="00A0260E"/>
    <w:rsid w:val="00A02786"/>
    <w:rsid w:val="00A03E5D"/>
    <w:rsid w:val="00A06B49"/>
    <w:rsid w:val="00A1004D"/>
    <w:rsid w:val="00A10828"/>
    <w:rsid w:val="00A10969"/>
    <w:rsid w:val="00A115FB"/>
    <w:rsid w:val="00A11F36"/>
    <w:rsid w:val="00A141C8"/>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2232"/>
    <w:rsid w:val="00A530BA"/>
    <w:rsid w:val="00A53D52"/>
    <w:rsid w:val="00A53E09"/>
    <w:rsid w:val="00A54F98"/>
    <w:rsid w:val="00A553B1"/>
    <w:rsid w:val="00A60719"/>
    <w:rsid w:val="00A61CAD"/>
    <w:rsid w:val="00A63B38"/>
    <w:rsid w:val="00A66488"/>
    <w:rsid w:val="00A672F9"/>
    <w:rsid w:val="00A7119E"/>
    <w:rsid w:val="00A71857"/>
    <w:rsid w:val="00A719A8"/>
    <w:rsid w:val="00A71E8D"/>
    <w:rsid w:val="00A72F3C"/>
    <w:rsid w:val="00A769F4"/>
    <w:rsid w:val="00A80B11"/>
    <w:rsid w:val="00A82880"/>
    <w:rsid w:val="00A82AB2"/>
    <w:rsid w:val="00A852A5"/>
    <w:rsid w:val="00A87035"/>
    <w:rsid w:val="00A8726E"/>
    <w:rsid w:val="00A901AE"/>
    <w:rsid w:val="00A90B4C"/>
    <w:rsid w:val="00A91787"/>
    <w:rsid w:val="00A91F13"/>
    <w:rsid w:val="00A927A2"/>
    <w:rsid w:val="00A9317D"/>
    <w:rsid w:val="00AA281A"/>
    <w:rsid w:val="00AA2872"/>
    <w:rsid w:val="00AA444F"/>
    <w:rsid w:val="00AA5996"/>
    <w:rsid w:val="00AA63B3"/>
    <w:rsid w:val="00AB50EC"/>
    <w:rsid w:val="00AB6048"/>
    <w:rsid w:val="00AB66DA"/>
    <w:rsid w:val="00AB7A37"/>
    <w:rsid w:val="00AC1929"/>
    <w:rsid w:val="00AC3E61"/>
    <w:rsid w:val="00AC4090"/>
    <w:rsid w:val="00AC65D8"/>
    <w:rsid w:val="00AD15A1"/>
    <w:rsid w:val="00AD1CEF"/>
    <w:rsid w:val="00AD614C"/>
    <w:rsid w:val="00AD7158"/>
    <w:rsid w:val="00AD7E4B"/>
    <w:rsid w:val="00AE064A"/>
    <w:rsid w:val="00AE0B9D"/>
    <w:rsid w:val="00AE2542"/>
    <w:rsid w:val="00AE2DA1"/>
    <w:rsid w:val="00AE3D1F"/>
    <w:rsid w:val="00AE3D4A"/>
    <w:rsid w:val="00AF008F"/>
    <w:rsid w:val="00AF14D8"/>
    <w:rsid w:val="00AF2D2C"/>
    <w:rsid w:val="00AF339D"/>
    <w:rsid w:val="00AF50F9"/>
    <w:rsid w:val="00AF5EAB"/>
    <w:rsid w:val="00AF651A"/>
    <w:rsid w:val="00AF7BC2"/>
    <w:rsid w:val="00AF7D97"/>
    <w:rsid w:val="00B00A00"/>
    <w:rsid w:val="00B01571"/>
    <w:rsid w:val="00B045E9"/>
    <w:rsid w:val="00B05295"/>
    <w:rsid w:val="00B06FF6"/>
    <w:rsid w:val="00B116BD"/>
    <w:rsid w:val="00B153B0"/>
    <w:rsid w:val="00B1701B"/>
    <w:rsid w:val="00B30833"/>
    <w:rsid w:val="00B41229"/>
    <w:rsid w:val="00B43084"/>
    <w:rsid w:val="00B514C6"/>
    <w:rsid w:val="00B51D77"/>
    <w:rsid w:val="00B53478"/>
    <w:rsid w:val="00B54302"/>
    <w:rsid w:val="00B55196"/>
    <w:rsid w:val="00B55DBB"/>
    <w:rsid w:val="00B56B20"/>
    <w:rsid w:val="00B5712A"/>
    <w:rsid w:val="00B63BCD"/>
    <w:rsid w:val="00B753A8"/>
    <w:rsid w:val="00B756A0"/>
    <w:rsid w:val="00B77724"/>
    <w:rsid w:val="00B8024B"/>
    <w:rsid w:val="00B81445"/>
    <w:rsid w:val="00B81FE0"/>
    <w:rsid w:val="00B8488C"/>
    <w:rsid w:val="00B8751C"/>
    <w:rsid w:val="00B924E1"/>
    <w:rsid w:val="00B9350E"/>
    <w:rsid w:val="00B9389F"/>
    <w:rsid w:val="00B9613D"/>
    <w:rsid w:val="00B96AA2"/>
    <w:rsid w:val="00BA104F"/>
    <w:rsid w:val="00BA1FF7"/>
    <w:rsid w:val="00BA47A0"/>
    <w:rsid w:val="00BA4AE6"/>
    <w:rsid w:val="00BB079A"/>
    <w:rsid w:val="00BB1B66"/>
    <w:rsid w:val="00BB2C9A"/>
    <w:rsid w:val="00BB3414"/>
    <w:rsid w:val="00BB3E20"/>
    <w:rsid w:val="00BB4129"/>
    <w:rsid w:val="00BB5003"/>
    <w:rsid w:val="00BC1569"/>
    <w:rsid w:val="00BC1573"/>
    <w:rsid w:val="00BC1918"/>
    <w:rsid w:val="00BC278F"/>
    <w:rsid w:val="00BC376B"/>
    <w:rsid w:val="00BC4651"/>
    <w:rsid w:val="00BC5834"/>
    <w:rsid w:val="00BC684E"/>
    <w:rsid w:val="00BC6C16"/>
    <w:rsid w:val="00BC75D7"/>
    <w:rsid w:val="00BD00B1"/>
    <w:rsid w:val="00BD1D1A"/>
    <w:rsid w:val="00BD60F7"/>
    <w:rsid w:val="00BD6145"/>
    <w:rsid w:val="00BD619F"/>
    <w:rsid w:val="00BD73B8"/>
    <w:rsid w:val="00BD7C6E"/>
    <w:rsid w:val="00BD7D61"/>
    <w:rsid w:val="00BE1590"/>
    <w:rsid w:val="00BE209F"/>
    <w:rsid w:val="00BE23F9"/>
    <w:rsid w:val="00BE30F3"/>
    <w:rsid w:val="00BE3322"/>
    <w:rsid w:val="00BE69D8"/>
    <w:rsid w:val="00BE74E7"/>
    <w:rsid w:val="00BF40C2"/>
    <w:rsid w:val="00BF49FE"/>
    <w:rsid w:val="00BF586E"/>
    <w:rsid w:val="00BF76FB"/>
    <w:rsid w:val="00C01D86"/>
    <w:rsid w:val="00C022E2"/>
    <w:rsid w:val="00C0421C"/>
    <w:rsid w:val="00C05613"/>
    <w:rsid w:val="00C0641C"/>
    <w:rsid w:val="00C10B2A"/>
    <w:rsid w:val="00C113D5"/>
    <w:rsid w:val="00C127A5"/>
    <w:rsid w:val="00C139D7"/>
    <w:rsid w:val="00C15438"/>
    <w:rsid w:val="00C15994"/>
    <w:rsid w:val="00C15CCD"/>
    <w:rsid w:val="00C16707"/>
    <w:rsid w:val="00C2157E"/>
    <w:rsid w:val="00C23C2C"/>
    <w:rsid w:val="00C2451C"/>
    <w:rsid w:val="00C2550B"/>
    <w:rsid w:val="00C26D63"/>
    <w:rsid w:val="00C27D76"/>
    <w:rsid w:val="00C305F0"/>
    <w:rsid w:val="00C313CF"/>
    <w:rsid w:val="00C31B96"/>
    <w:rsid w:val="00C333C9"/>
    <w:rsid w:val="00C37BB5"/>
    <w:rsid w:val="00C4062E"/>
    <w:rsid w:val="00C41221"/>
    <w:rsid w:val="00C41B4D"/>
    <w:rsid w:val="00C4392E"/>
    <w:rsid w:val="00C43996"/>
    <w:rsid w:val="00C43B4C"/>
    <w:rsid w:val="00C44851"/>
    <w:rsid w:val="00C45501"/>
    <w:rsid w:val="00C45DF3"/>
    <w:rsid w:val="00C47CF4"/>
    <w:rsid w:val="00C50E39"/>
    <w:rsid w:val="00C50F23"/>
    <w:rsid w:val="00C51777"/>
    <w:rsid w:val="00C52D57"/>
    <w:rsid w:val="00C539AE"/>
    <w:rsid w:val="00C60C20"/>
    <w:rsid w:val="00C628A6"/>
    <w:rsid w:val="00C64CA0"/>
    <w:rsid w:val="00C64D9B"/>
    <w:rsid w:val="00C651E9"/>
    <w:rsid w:val="00C65C6D"/>
    <w:rsid w:val="00C67B3B"/>
    <w:rsid w:val="00C67BC2"/>
    <w:rsid w:val="00C70FA9"/>
    <w:rsid w:val="00C726BD"/>
    <w:rsid w:val="00C73508"/>
    <w:rsid w:val="00C75699"/>
    <w:rsid w:val="00C823D2"/>
    <w:rsid w:val="00C91B05"/>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0DB4"/>
    <w:rsid w:val="00CC1B34"/>
    <w:rsid w:val="00CC2C94"/>
    <w:rsid w:val="00CC460C"/>
    <w:rsid w:val="00CC512F"/>
    <w:rsid w:val="00CC7A88"/>
    <w:rsid w:val="00CD0B05"/>
    <w:rsid w:val="00CD0B4C"/>
    <w:rsid w:val="00CD10FF"/>
    <w:rsid w:val="00CD19E2"/>
    <w:rsid w:val="00CD5306"/>
    <w:rsid w:val="00CD6746"/>
    <w:rsid w:val="00CE1B17"/>
    <w:rsid w:val="00CE327D"/>
    <w:rsid w:val="00CE7B0E"/>
    <w:rsid w:val="00CF1ACA"/>
    <w:rsid w:val="00CF7FD5"/>
    <w:rsid w:val="00D01C91"/>
    <w:rsid w:val="00D024E6"/>
    <w:rsid w:val="00D04D3F"/>
    <w:rsid w:val="00D05A0A"/>
    <w:rsid w:val="00D05CD6"/>
    <w:rsid w:val="00D06392"/>
    <w:rsid w:val="00D077DC"/>
    <w:rsid w:val="00D07D63"/>
    <w:rsid w:val="00D12492"/>
    <w:rsid w:val="00D13542"/>
    <w:rsid w:val="00D15499"/>
    <w:rsid w:val="00D2070F"/>
    <w:rsid w:val="00D226EA"/>
    <w:rsid w:val="00D23DAB"/>
    <w:rsid w:val="00D26ECF"/>
    <w:rsid w:val="00D3274E"/>
    <w:rsid w:val="00D37451"/>
    <w:rsid w:val="00D42355"/>
    <w:rsid w:val="00D43F7B"/>
    <w:rsid w:val="00D46BE1"/>
    <w:rsid w:val="00D54483"/>
    <w:rsid w:val="00D64E74"/>
    <w:rsid w:val="00D6625D"/>
    <w:rsid w:val="00D7108F"/>
    <w:rsid w:val="00D7181A"/>
    <w:rsid w:val="00D71E8D"/>
    <w:rsid w:val="00D72A7A"/>
    <w:rsid w:val="00D73296"/>
    <w:rsid w:val="00D75070"/>
    <w:rsid w:val="00D807CE"/>
    <w:rsid w:val="00D8783A"/>
    <w:rsid w:val="00D87861"/>
    <w:rsid w:val="00D87CC0"/>
    <w:rsid w:val="00D916A4"/>
    <w:rsid w:val="00D91DCB"/>
    <w:rsid w:val="00D93CBC"/>
    <w:rsid w:val="00D95A02"/>
    <w:rsid w:val="00D963F8"/>
    <w:rsid w:val="00D9645B"/>
    <w:rsid w:val="00D970B0"/>
    <w:rsid w:val="00DA1017"/>
    <w:rsid w:val="00DA1381"/>
    <w:rsid w:val="00DA1B39"/>
    <w:rsid w:val="00DA377A"/>
    <w:rsid w:val="00DA3C9C"/>
    <w:rsid w:val="00DB30C3"/>
    <w:rsid w:val="00DB4033"/>
    <w:rsid w:val="00DB46F9"/>
    <w:rsid w:val="00DB477F"/>
    <w:rsid w:val="00DB58C8"/>
    <w:rsid w:val="00DC31D4"/>
    <w:rsid w:val="00DC3B0F"/>
    <w:rsid w:val="00DC495E"/>
    <w:rsid w:val="00DC6979"/>
    <w:rsid w:val="00DC79DA"/>
    <w:rsid w:val="00DD24F3"/>
    <w:rsid w:val="00DD403E"/>
    <w:rsid w:val="00DD6ECF"/>
    <w:rsid w:val="00DD7AA6"/>
    <w:rsid w:val="00DE1C01"/>
    <w:rsid w:val="00DE230A"/>
    <w:rsid w:val="00DE4358"/>
    <w:rsid w:val="00DE7CBB"/>
    <w:rsid w:val="00DF0311"/>
    <w:rsid w:val="00DF2BE6"/>
    <w:rsid w:val="00DF47D9"/>
    <w:rsid w:val="00DF4899"/>
    <w:rsid w:val="00DF4C30"/>
    <w:rsid w:val="00DF6BDD"/>
    <w:rsid w:val="00E0099C"/>
    <w:rsid w:val="00E031A0"/>
    <w:rsid w:val="00E03591"/>
    <w:rsid w:val="00E043AB"/>
    <w:rsid w:val="00E05DA3"/>
    <w:rsid w:val="00E10E28"/>
    <w:rsid w:val="00E1799B"/>
    <w:rsid w:val="00E22EB9"/>
    <w:rsid w:val="00E23290"/>
    <w:rsid w:val="00E23882"/>
    <w:rsid w:val="00E23A3B"/>
    <w:rsid w:val="00E25688"/>
    <w:rsid w:val="00E25DB7"/>
    <w:rsid w:val="00E2631E"/>
    <w:rsid w:val="00E278C2"/>
    <w:rsid w:val="00E30BC6"/>
    <w:rsid w:val="00E31C5D"/>
    <w:rsid w:val="00E340F8"/>
    <w:rsid w:val="00E369BD"/>
    <w:rsid w:val="00E4379A"/>
    <w:rsid w:val="00E466BF"/>
    <w:rsid w:val="00E469CB"/>
    <w:rsid w:val="00E46DBC"/>
    <w:rsid w:val="00E54245"/>
    <w:rsid w:val="00E550EF"/>
    <w:rsid w:val="00E55C2E"/>
    <w:rsid w:val="00E56467"/>
    <w:rsid w:val="00E56608"/>
    <w:rsid w:val="00E57F98"/>
    <w:rsid w:val="00E63A82"/>
    <w:rsid w:val="00E65F4A"/>
    <w:rsid w:val="00E71EE6"/>
    <w:rsid w:val="00E73830"/>
    <w:rsid w:val="00E74DE6"/>
    <w:rsid w:val="00E753DE"/>
    <w:rsid w:val="00E75AD7"/>
    <w:rsid w:val="00E81E99"/>
    <w:rsid w:val="00E83051"/>
    <w:rsid w:val="00E832C4"/>
    <w:rsid w:val="00E83E95"/>
    <w:rsid w:val="00E85962"/>
    <w:rsid w:val="00E85C25"/>
    <w:rsid w:val="00E91BE1"/>
    <w:rsid w:val="00E941FE"/>
    <w:rsid w:val="00E94522"/>
    <w:rsid w:val="00E957C1"/>
    <w:rsid w:val="00E96551"/>
    <w:rsid w:val="00E97ED3"/>
    <w:rsid w:val="00EA0C0C"/>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D148F"/>
    <w:rsid w:val="00ED21F8"/>
    <w:rsid w:val="00ED5551"/>
    <w:rsid w:val="00ED6E3B"/>
    <w:rsid w:val="00ED7727"/>
    <w:rsid w:val="00EE0444"/>
    <w:rsid w:val="00EE06EB"/>
    <w:rsid w:val="00EE0872"/>
    <w:rsid w:val="00EE5246"/>
    <w:rsid w:val="00EF1FAC"/>
    <w:rsid w:val="00EF2848"/>
    <w:rsid w:val="00EF3FDE"/>
    <w:rsid w:val="00EF6DE0"/>
    <w:rsid w:val="00F00714"/>
    <w:rsid w:val="00F00CD7"/>
    <w:rsid w:val="00F02120"/>
    <w:rsid w:val="00F02F32"/>
    <w:rsid w:val="00F0325C"/>
    <w:rsid w:val="00F04613"/>
    <w:rsid w:val="00F10C93"/>
    <w:rsid w:val="00F10E73"/>
    <w:rsid w:val="00F10E8D"/>
    <w:rsid w:val="00F12457"/>
    <w:rsid w:val="00F15276"/>
    <w:rsid w:val="00F15921"/>
    <w:rsid w:val="00F16BA1"/>
    <w:rsid w:val="00F16C10"/>
    <w:rsid w:val="00F17625"/>
    <w:rsid w:val="00F1784C"/>
    <w:rsid w:val="00F20E5A"/>
    <w:rsid w:val="00F22253"/>
    <w:rsid w:val="00F2381F"/>
    <w:rsid w:val="00F23826"/>
    <w:rsid w:val="00F2643F"/>
    <w:rsid w:val="00F268BB"/>
    <w:rsid w:val="00F270E8"/>
    <w:rsid w:val="00F323B3"/>
    <w:rsid w:val="00F3701C"/>
    <w:rsid w:val="00F40D68"/>
    <w:rsid w:val="00F46035"/>
    <w:rsid w:val="00F502D5"/>
    <w:rsid w:val="00F51010"/>
    <w:rsid w:val="00F51510"/>
    <w:rsid w:val="00F53579"/>
    <w:rsid w:val="00F537DE"/>
    <w:rsid w:val="00F6151D"/>
    <w:rsid w:val="00F61D03"/>
    <w:rsid w:val="00F66613"/>
    <w:rsid w:val="00F67B96"/>
    <w:rsid w:val="00F7177C"/>
    <w:rsid w:val="00F7242D"/>
    <w:rsid w:val="00F727EB"/>
    <w:rsid w:val="00F73293"/>
    <w:rsid w:val="00F8038A"/>
    <w:rsid w:val="00F83EA7"/>
    <w:rsid w:val="00F85C8A"/>
    <w:rsid w:val="00F90259"/>
    <w:rsid w:val="00F91642"/>
    <w:rsid w:val="00F92F3E"/>
    <w:rsid w:val="00F9664A"/>
    <w:rsid w:val="00FA44D5"/>
    <w:rsid w:val="00FA6FBB"/>
    <w:rsid w:val="00FB467B"/>
    <w:rsid w:val="00FB7B4C"/>
    <w:rsid w:val="00FB7E1D"/>
    <w:rsid w:val="00FC2009"/>
    <w:rsid w:val="00FC56D7"/>
    <w:rsid w:val="00FD0321"/>
    <w:rsid w:val="00FD2EFA"/>
    <w:rsid w:val="00FD2F21"/>
    <w:rsid w:val="00FD5922"/>
    <w:rsid w:val="00FD6725"/>
    <w:rsid w:val="00FD6B1F"/>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30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eastAsia="en-US"/>
    </w:rPr>
  </w:style>
  <w:style w:type="character" w:customStyle="1" w:styleId="CommentTextChar">
    <w:name w:val="Comment Text Char"/>
    <w:basedOn w:val="DefaultParagraphFont"/>
    <w:link w:val="CommentText"/>
    <w:uiPriority w:val="99"/>
    <w:rsid w:val="009F12CB"/>
    <w:rPr>
      <w:rFonts w:eastAsia="Batang"/>
      <w:sz w:val="20"/>
      <w:szCs w:val="20"/>
      <w:lang w:val="fr-F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fr-F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table" w:styleId="LightGrid-Accent1">
    <w:name w:val="Light Grid Accent 1"/>
    <w:basedOn w:val="TableNormal"/>
    <w:uiPriority w:val="62"/>
    <w:rsid w:val="00F02120"/>
    <w:pPr>
      <w:spacing w:after="0" w:line="240" w:lineRule="auto"/>
    </w:pPr>
    <w:rPr>
      <w:rFonts w:eastAsiaTheme="minorHAns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FollowedHyperlink">
    <w:name w:val="FollowedHyperlink"/>
    <w:basedOn w:val="DefaultParagraphFont"/>
    <w:uiPriority w:val="99"/>
    <w:semiHidden/>
    <w:unhideWhenUsed/>
    <w:rsid w:val="00ED148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eastAsia="en-US"/>
    </w:rPr>
  </w:style>
  <w:style w:type="character" w:customStyle="1" w:styleId="CommentTextChar">
    <w:name w:val="Comment Text Char"/>
    <w:basedOn w:val="DefaultParagraphFont"/>
    <w:link w:val="CommentText"/>
    <w:uiPriority w:val="99"/>
    <w:rsid w:val="009F12CB"/>
    <w:rPr>
      <w:rFonts w:eastAsia="Batang"/>
      <w:sz w:val="20"/>
      <w:szCs w:val="20"/>
      <w:lang w:val="fr-F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fr-F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table" w:styleId="LightGrid-Accent1">
    <w:name w:val="Light Grid Accent 1"/>
    <w:basedOn w:val="TableNormal"/>
    <w:uiPriority w:val="62"/>
    <w:rsid w:val="00F02120"/>
    <w:pPr>
      <w:spacing w:after="0" w:line="240" w:lineRule="auto"/>
    </w:pPr>
    <w:rPr>
      <w:rFonts w:eastAsiaTheme="minorHAns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FollowedHyperlink">
    <w:name w:val="FollowedHyperlink"/>
    <w:basedOn w:val="DefaultParagraphFont"/>
    <w:uiPriority w:val="99"/>
    <w:semiHidden/>
    <w:unhideWhenUsed/>
    <w:rsid w:val="00ED14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168562189">
      <w:bodyDiv w:val="1"/>
      <w:marLeft w:val="0"/>
      <w:marRight w:val="0"/>
      <w:marTop w:val="0"/>
      <w:marBottom w:val="0"/>
      <w:divBdr>
        <w:top w:val="none" w:sz="0" w:space="0" w:color="auto"/>
        <w:left w:val="none" w:sz="0" w:space="0" w:color="auto"/>
        <w:bottom w:val="none" w:sz="0" w:space="0" w:color="auto"/>
        <w:right w:val="none" w:sz="0" w:space="0" w:color="auto"/>
      </w:divBdr>
    </w:div>
    <w:div w:id="351148845">
      <w:bodyDiv w:val="1"/>
      <w:marLeft w:val="0"/>
      <w:marRight w:val="0"/>
      <w:marTop w:val="0"/>
      <w:marBottom w:val="0"/>
      <w:divBdr>
        <w:top w:val="none" w:sz="0" w:space="0" w:color="auto"/>
        <w:left w:val="none" w:sz="0" w:space="0" w:color="auto"/>
        <w:bottom w:val="none" w:sz="0" w:space="0" w:color="auto"/>
        <w:right w:val="none" w:sz="0" w:space="0" w:color="auto"/>
      </w:divBdr>
    </w:div>
    <w:div w:id="372198714">
      <w:bodyDiv w:val="1"/>
      <w:marLeft w:val="0"/>
      <w:marRight w:val="0"/>
      <w:marTop w:val="0"/>
      <w:marBottom w:val="0"/>
      <w:divBdr>
        <w:top w:val="none" w:sz="0" w:space="0" w:color="auto"/>
        <w:left w:val="none" w:sz="0" w:space="0" w:color="auto"/>
        <w:bottom w:val="none" w:sz="0" w:space="0" w:color="auto"/>
        <w:right w:val="none" w:sz="0" w:space="0" w:color="auto"/>
      </w:divBdr>
    </w:div>
    <w:div w:id="425462640">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74623264">
      <w:bodyDiv w:val="1"/>
      <w:marLeft w:val="0"/>
      <w:marRight w:val="0"/>
      <w:marTop w:val="0"/>
      <w:marBottom w:val="0"/>
      <w:divBdr>
        <w:top w:val="none" w:sz="0" w:space="0" w:color="auto"/>
        <w:left w:val="none" w:sz="0" w:space="0" w:color="auto"/>
        <w:bottom w:val="none" w:sz="0" w:space="0" w:color="auto"/>
        <w:right w:val="none" w:sz="0" w:space="0" w:color="auto"/>
      </w:divBdr>
      <w:divsChild>
        <w:div w:id="1993483431">
          <w:marLeft w:val="720"/>
          <w:marRight w:val="0"/>
          <w:marTop w:val="160"/>
          <w:marBottom w:val="0"/>
          <w:divBdr>
            <w:top w:val="none" w:sz="0" w:space="0" w:color="auto"/>
            <w:left w:val="none" w:sz="0" w:space="0" w:color="auto"/>
            <w:bottom w:val="none" w:sz="0" w:space="0" w:color="auto"/>
            <w:right w:val="none" w:sz="0" w:space="0" w:color="auto"/>
          </w:divBdr>
        </w:div>
      </w:divsChild>
    </w:div>
    <w:div w:id="1313290215">
      <w:bodyDiv w:val="1"/>
      <w:marLeft w:val="0"/>
      <w:marRight w:val="0"/>
      <w:marTop w:val="0"/>
      <w:marBottom w:val="0"/>
      <w:divBdr>
        <w:top w:val="none" w:sz="0" w:space="0" w:color="auto"/>
        <w:left w:val="none" w:sz="0" w:space="0" w:color="auto"/>
        <w:bottom w:val="none" w:sz="0" w:space="0" w:color="auto"/>
        <w:right w:val="none" w:sz="0" w:space="0" w:color="auto"/>
      </w:divBdr>
    </w:div>
    <w:div w:id="1373530029">
      <w:bodyDiv w:val="1"/>
      <w:marLeft w:val="0"/>
      <w:marRight w:val="0"/>
      <w:marTop w:val="0"/>
      <w:marBottom w:val="0"/>
      <w:divBdr>
        <w:top w:val="none" w:sz="0" w:space="0" w:color="auto"/>
        <w:left w:val="none" w:sz="0" w:space="0" w:color="auto"/>
        <w:bottom w:val="none" w:sz="0" w:space="0" w:color="auto"/>
        <w:right w:val="none" w:sz="0" w:space="0" w:color="auto"/>
      </w:divBdr>
      <w:divsChild>
        <w:div w:id="108090299">
          <w:marLeft w:val="547"/>
          <w:marRight w:val="0"/>
          <w:marTop w:val="238"/>
          <w:marBottom w:val="0"/>
          <w:divBdr>
            <w:top w:val="none" w:sz="0" w:space="0" w:color="auto"/>
            <w:left w:val="none" w:sz="0" w:space="0" w:color="auto"/>
            <w:bottom w:val="none" w:sz="0" w:space="0" w:color="auto"/>
            <w:right w:val="none" w:sz="0" w:space="0" w:color="auto"/>
          </w:divBdr>
        </w:div>
      </w:divsChild>
    </w:div>
    <w:div w:id="1376471257">
      <w:bodyDiv w:val="1"/>
      <w:marLeft w:val="0"/>
      <w:marRight w:val="0"/>
      <w:marTop w:val="0"/>
      <w:marBottom w:val="0"/>
      <w:divBdr>
        <w:top w:val="none" w:sz="0" w:space="0" w:color="auto"/>
        <w:left w:val="none" w:sz="0" w:space="0" w:color="auto"/>
        <w:bottom w:val="none" w:sz="0" w:space="0" w:color="auto"/>
        <w:right w:val="none" w:sz="0" w:space="0" w:color="auto"/>
      </w:divBdr>
    </w:div>
    <w:div w:id="1389452381">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 w:id="200285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phsn.net/ROSSP/Surveillance/HBAS/Pacific_HBAS_Information_Folder-2005-FR.pdf"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sustainabledevelopment.un.org/SDG3"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ps.who.int/iris/bitstream/handle/10665/208258/PHMM_declaration_2015_fre.pdf?sequence=1&amp;isAllowed=y"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s://apps.who.int/iris/bitstream/handle/10665/208258/PHMM_declaration_2015_fre.pdf?sequence=1&amp;isAllowed=y"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apps.who.int/iris/bitstream/handle/10665/79315/9789242504989_fre.pdf?sequence=1" TargetMode="External"/><Relationship Id="rId14" Type="http://schemas.openxmlformats.org/officeDocument/2006/relationships/hyperlink" Target="http://iris.wpro.who.int/handle/10665.1/14336" TargetMode="External"/><Relationship Id="rId22" Type="http://schemas.openxmlformats.org/officeDocument/2006/relationships/header" Target="header4.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apps.who.int/gho/data/view.main.80200?lang=en" TargetMode="External"/><Relationship Id="rId2" Type="http://schemas.openxmlformats.org/officeDocument/2006/relationships/hyperlink" Target="https://www.who.int/wer/2013/wer8805.pdf" TargetMode="External"/><Relationship Id="rId1" Type="http://schemas.openxmlformats.org/officeDocument/2006/relationships/hyperlink" Target="https://iris.wpro.who.int/bitstream/handle/10665.1/10921/9789290617099_eng.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6702B337-27DA-48C3-9276-308C6E88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5851</Words>
  <Characters>33357</Characters>
  <Application>Microsoft Office Word</Application>
  <DocSecurity>0</DocSecurity>
  <Lines>277</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World Health Organization</Company>
  <LinksUpToDate>false</LinksUpToDate>
  <CharactersWithSpaces>39130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2</cp:revision>
  <cp:lastPrinted>2015-04-06T00:58:00Z</cp:lastPrinted>
  <dcterms:created xsi:type="dcterms:W3CDTF">2019-08-07T18:48:00Z</dcterms:created>
  <dcterms:modified xsi:type="dcterms:W3CDTF">2019-08-07T18:48:00Z</dcterms:modified>
</cp:coreProperties>
</file>